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מלחמת חרבות ברזל היבטים כלכליים ותקציביים על הבדואים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מצביע על תקציב של 8.9 מילראד ש"ח שהקצתה הממשלה למימון צורכים מלחמה אזרחיים שהממשלה הסמיכה את הקבניט החברתי-כלכלי לטפל בהם.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אחוז הוקצה מתקציב זה לרשויות הבדואיות בנגב?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באיזו מידה שיתף הקבניט החברתי-כלכלי את הגורמים הבדואים בנושא 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תכנית לפצות את הבדואים במסגרת זו 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A3E8DE-36F2-4DF9-8F38-C20E252B43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2237174</vt:r8>
  </property>
</Properties>
</file>