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השפעת הקיצוץ של 3.5% מתקציב המשרד בשנת הכספים 2026 על רשויות מקומיות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ממלא מקום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קיצוץ לשנת 2026 (3.35%) עלול לפגוע במענקים ותמיכות לרשויות, במיוחד מוחלשות.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שירותים, התקשרויות ותמיכות לרשויות המקומיות צפויים להצטמצם או להתבטל נוכח הקיצוץ, ובאיזה היקף כספי?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FB3A071-A154-4F5C-9961-0619AC06AA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2235373</vt:r8>
  </property>
</Properties>
</file>