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3586.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 בטיפול בתביעות מס רכוש לנפגעי 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בתמוז התשפ"ה (3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מאז תחילת הלחימה מול איראן הוגשו כ-32,000 תביעות למס רכוש, דבר שיצר עומס חריג, עיכובים בשמאות, וחוסר ודאות באשר למועד הפיצוי.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זמן ההמתנה הממוצע לביקור שמאי?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זמן צפוי לחלוף עד שיפוצו כלל הנפגעים?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ננקטים להאצת הטיפול?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5C0E5A2-E75C-44AB-B1F0-A1374AC02F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2233842</vt:r8>
  </property>
</Properties>
</file>