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3574.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עלייה חדה בפיגורי המשכנתאות והשלכותיה על יציבות המשק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אורית פרקש הכהן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בתמוז התשפ"ה (30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דו"ח בנק ישראל קובע: ישנה עלייה של 15% בפיגורי המשכנתאות -(3.9 מיליארד₪)- נתון המעורר חשש ממשי ליציבות הכלכלית של משקי הבית והמערכת הפיננסית.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משרדך נערך למשבר פיננסי דוגמת הסאב-פריים?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תרומת מיחזורי המשכנתאות הפנימיים לעניין, והאם יש לפעול בנושא?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ננקטים/מתוכננים ע"מ לסייע ללווים במצוקה ולמניעת הידרדרות נוספת?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92709D5-3323-42A4-8334-AD357A3B5B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2233567</vt:r8>
  </property>
</Properties>
</file>