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3515.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קיצוץ תקציב מינהל הבטיחות והבריאות התעסוקתית למרות תמונת המצב העגומה של קורבנות תאונות העבודה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התשפ"ה (10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בין שנת 2023 ל-2024 קוצץ תקציב המינהל בכ-20%, זאת למרות היקף תאונות העבודה שהיה משמעותי גם ב-2024 בה ענף הבנייה פעל חלקית לאור המלחמה.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תאונות עבודה ע"פ המשטרה היו בשנת 2024?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הם הקריטריונים לסיווג תאונה כתאונת עבודה?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>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21E915B-C0DA-4C6C-9755-568C91C0A4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2232866</vt:r8>
  </property>
</Properties>
</file>