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3293.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מעקב משרד החינוך אחר איתנות פיננסית של רשתות חינוך חרדיות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גלעד קריב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בניסן התשפ"ה (10 באפריל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רשתות חינוך חרדיות המפעילות מאות בתי ספר נתמכות בתקציב המדינה. חוק הפיקוח מחייב את משרד החינוך לעקוב אחר היבטים פדגוגיים ותפעוליים כאחד.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משרד החינוך מחזיק בנתונים על האיתנות הפיננסית של רשתות החינוך החרדיות, ובפרט על גירעונות תקציביים?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אם לא – מדוע אין למשרד מידע זה למרות אחריותו הפיקוחית?</w:t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  <w:r>
        <w:br/>
      </w:r>
      <w:r>
        <w:rPr xmlns:w="http://schemas.openxmlformats.org/wordprocessingml/2006/main">
          <w:rFonts w:hint="cs" w:ascii="Tahoma" w:hAnsi="Tahoma" w:cs="David"/>
          <w:rtl/>
        </w:rPr>
        <w:t xml:space="preserve"/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07/05/2025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D109EB2F-A82D-4A61-B912-4C3EBCD0F2F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2230412</vt:r8>
  </property>
</Properties>
</file>