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הפחתת תקצוב למוסדות שאינם מלמדים ליבה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בניסן התשפ"ה (6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מדיניות משרד החינוך, מימון מוסדות חינוך מותנה בהיקף לימודי הליבה הנלמדים בהם.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לכמה בתי ספר, הפועלים במסגרת שתי רשתות החינוך החרדיות, הופחת תקציב עקב ממצאי ביקורת שלפיהם לימודי הליבה אינם מתקיימים במלואם?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699129-67BF-41D4-BB0B-B2C0198CA8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2230409</vt:r8>
  </property>
</Properties>
</file>