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433DC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3168.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אחוז פענוח תיקי רצח בחברה הערבית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8725F6" w:rsidRDefault="0059335D" w14:paraId="2E2D37C2" w14:textId="2A5D56C4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ואליד אלהואשלה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8725F6">
        <w:rPr>
          <w:rFonts w:hint="cs" w:ascii="Tahoma" w:hAnsi="Tahoma" w:cs="David"/>
          <w:u w:val="single"/>
          <w:rtl/>
        </w:rPr>
        <w:t xml:space="preserve">איתמר בן גביר </w:t>
      </w:r>
      <w:r>
        <w:rPr>
          <w:rFonts w:hint="cs" w:ascii="Tahoma" w:hAnsi="Tahoma" w:cs="David"/>
          <w:u w:val="single"/>
          <w:rtl/>
        </w:rPr>
        <w:t xml:space="preserve"> - </w:t>
      </w:r>
      <w:bookmarkStart w:name="_GoBack" w:id="11"/>
      <w:bookmarkEnd w:id="11"/>
      <w:r>
        <w:rPr>
          <w:rFonts w:hint="cs" w:ascii="Tahoma" w:hAnsi="Tahoma" w:cs="David"/>
          <w:u w:val="single"/>
          <w:rtl/>
        </w:rPr>
        <w:t>השר לביטחון לאומי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>ביום ח' בניסן התשפ"ה (6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נתוני פענוח תיקי רצח בחברה הערבית, לפי מקורות ופרסומים שונים נמוכים, בהשוואה לכלל תיקי הרצח.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אחוז פענוח תיקי רצח בחברה הערבית?</w:t>
      </w:r>
      <w:bookmarkEnd w:id="15"/>
    </w:p>
    <w:p w:rsidR="005B5DA0" w:rsidRDefault="00433DCC" w14:paraId="0F2347D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אחוז פענוח תיקי רצח בכלל החברה?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06/05/2025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33DCC"/>
    <w:rsid w:val="00472AB3"/>
    <w:rsid w:val="0059335D"/>
    <w:rsid w:val="005B5DA0"/>
    <w:rsid w:val="0061561D"/>
    <w:rsid w:val="00616EB6"/>
    <w:rsid w:val="006C1D4D"/>
    <w:rsid w:val="00777F00"/>
    <w:rsid w:val="008725F6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93A21DC-AA56-4AFB-8683-954A929B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5873D-A092-4757-9C71-5F6A4EFD4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290d5b49-c690-4c6f-bbb9-1e50dab33ee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633878-3D09-45C9-B3DA-EA3B01CC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2025-04-06T08:29:00Z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2230000</vt:r8>
  </property>
</Properties>
</file>