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באופן חסר תקדים ובניגוד מוחלט לסטטוס קוו מהמאה ה-18 עיריית ירושלים מבקשת מהכנסייה הארמנית תשלום מס בסך עשרות מיליוני שקלים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עאידה תומא סלימאן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באדר התשפ"ה (10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עיריית ירושלים דרשה מהפטריארכיה הארמנית תשלום ארנונה בגובה עשרות מיליוני שקלים, גם על נכסים שאינם בבעלותה. העירייה אף פנתה להוצאה לפועל למימוש נכסי הכנסייה.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השר מודע לדרישה? כיצד יפעל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הופר הסטטוס קוו?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על מה מסתמכת דרישת העירייה?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9F22E8D-DD85-4D73-8441-F7D4442820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2229704</vt:r8>
  </property>
</Properties>
</file>