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פיצויים לעסקים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התשפ"ה (23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בהוראת הביצוע המפרטת את הפיצויים לעסקים ב2024 במסגרת "חרבות ברזל", לא ניתנים פיצויים כספיים לבעלי מוסדות ציבוריים זכאיים ששירתו במילואים.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הפיצויים המוצעים לבעלי מוסדות ציבוריים זכאיים?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המשרד לתמיכה במוסדות ציבוריים זכאיים שנפגעו כתוצאה משירות מילואים?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A3F4D6F-78B7-44F8-A929-02821FB1DF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2227503</vt:r8>
  </property>
</Properties>
</file>