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אסדרה בטיפול בשיח פוגעני והסתה ברשת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מדוח איגוד האינטרנט עולה כי אין חקיקה המסדירה את אכיפת התוכן הפוגעני והמסית ברשת.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מחלקת הסייבר בפרקליטות פועלת ללא חקיקה וללא קריטריונים ושקיפות בתחום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הקריטריונים לפעולה במרחב האינטרנטיבעניין זה?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ואיזה צעדים ננקטים על מנת לוודא שלא נעשית אכיפת יתר במרחב הקיברנטי כלפי האזרחים הערבים?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08134DE-B45D-4F07-A760-4CB2D2CBCD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2225360</vt:r8>
  </property>
</Properties>
</file>