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2640.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תת ניצול תקציבי בהחלטת ממשלה 716 ו-717 לתוכנית להעצמה ולפיתוח כלכלי חברתי ביישובים הדרוזיים והצ'רקסיים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מרדכי ביטון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מירי מרים רגב - שרת התחבורה והבטיחות בדרכים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כ"ט בכסלו התשפ"ה (30 בדצמבר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בדיון שערכתי בועדה שבראשותי, ועל פי הדיווח של מנהל הרשות לפיתוח כלכלי חברתי במשרד ראה"מ שנמסר לי עולה כי משרדך עומד על תת ניצול תקציבי של המשאבים שהוקצו לו לעניין (70%).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1.מה גובה התקציב שהוקצה בפועל? כמה ובאיזה אופן מומש?</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2.מהן היתרות? האם יקשרו עד סוף השנה? על מה?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20/01/2025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C4FFBFD-32CA-4C44-AA0C-7BAA35A5F327}"/>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2224773</vt:r8>
  </property>
</Properties>
</file>