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עיכובים משמעותיים במסירת דירות מחיר למשתכן ואכיפת המשרד בתחום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קיבלתי פניות רבות הנוגעות לעיכובים משמעותיים במסירת דירות במסגרת פרויקטי מחיר למשתכן.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דירות בפרויקטי מחיר למשתכן לא נמסרו למרות שחלף מועד המסירה המקורי?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אורך העיכוב הממוצע במסירת דירה במחיר למשתכן?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הופעל סעיף 5א בחוק המכר (דירות) כדי לחייב את הקבלן לספק פיצוי לרוכש בשל איחור במסירה?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C98FE7E-85AA-4EC5-9836-BA2D2085A4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2224409</vt:r8>
  </property>
</Properties>
</file>