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2333.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הארכת הזכאות לשירותים רפואיים במכוני התפתחות הילד</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 בחשוון התשפ"ה (11 בנובמבר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חוזר חטיבת הרפואה 12/2021 בעניין מכוני התפתחות הילד קובע כי ״כל ילד עם אבחנה התפתחותית סומטית וילדים עם אבחנה על רצף האוטיזם, זכאים לקבל טיפול עד גיל 18״. אולם, התפתחות גופנית למצב של בגירות נמשכת לעתים גם עד גיל 21.</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1.</w:t>
      </w:r>
      <w:r xmlns:w="http://schemas.openxmlformats.org/wordprocessingml/2006/main">
        <w:tab/>
      </w:r>
      <w:r xmlns:w="http://schemas.openxmlformats.org/wordprocessingml/2006/main">
        <w:rPr xmlns:w="http://schemas.openxmlformats.org/wordprocessingml/2006/main">
          <w:rFonts w:hint="cs" w:ascii="Tahoma" w:hAnsi="Tahoma" w:cs="David"/>
          <w:rtl/>
        </w:rPr>
        <w:t xml:space="preserve">האם תורה להאריך את גיל הזכאות במכוני התפתחות הילד?</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02/12/2024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4AD54CD9-F6E1-4A1B-8E37-3D48B5A59CD4}"/>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2223159</vt:r8>
  </property>
</Properties>
</file>