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התנגדות הרשויות המקומיות והאזוריות בגליל המערבי לקידום התכנון של כביש 855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מקודמת תכנית לסלילת כביש-855, שאין בו כל צורך תחבורתי, והעלול לפגוע באדמות ובקניינם הפרטיים של תושבי האזור.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הרשויות המקומיות והאזוריות הנוגעות בדבר מתנגדים בתוקף לקידום התכנית וסלילת הכביש, ודורשות לעצור את הליך תכנון הכביש, במיוחד שאין כל הצדקה תכנונית ותחבורתית לסלילתו.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יופסק התכנון של כביש 855 לאלתר?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D2CC002-455C-4B0B-9CBD-B967156AE2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2220332</vt:r8>
  </property>
</Properties>
</file>