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1714.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עלייה באינפלציה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באייר התשפ"ד (26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בשבוע שעבר, הלשכה המרכזית לסטטיסטיקה פרסמה את מדד המחירים לצרכן. הוא עלה באפריל 2024 ב0.8%, הרבה מעבר לתחזיות המוקדמות שהיו בין חצי אחוז ל0.6%. העלייה במדד המחירים גרמה לעלייה באינפלציה, שעומדת כיום על 2.8%, כמעט יעד האינפלציה העליון.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 המשרד לבצע בכדי להוריד את שיעור האינפלציה?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14AC5DC-E82D-49C2-8EC7-BEAF0E6D8B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2218425</vt:r8>
  </property>
</Properties>
</file>