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1485.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פרסום תמונת קטין עצור תוך פגיעה בפרטיותו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העבודה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באדר ב' התשפ"ד (1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שר הבט"ל פרסם ברשת החברתית תמונת קטין עצור ואזוק טרם חקירתו במשטרה. התמונה פורסמה בגילוי מלא וללא כל טשטוש ותרמה לחשיפת זהות הקטין. בהינתן ששר הרווחה אחראי על ביצוע חוק הנוער (טיפול והשגחה), האוסר פרסום דמותו של קטין בנסיבות כאמור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על נקיטת צעדי אכיפה נגד השר, לשכתו והמשטרה?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54FC4A2-952B-4001-A3AA-25C34267F08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2217021</vt:r8>
  </property>
</Properties>
</file>