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1486.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פרסום תמונת קטין עצור תוך פגיעה בפרטיותו</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יריב לוין - שר המשפטים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כ"ב באדר ב' התשפ"ד (1 באפריל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שר הבט"ל פרסם ברשת החברתית תמונת קטין עצור ואזוק טרם חקירתו במשטרה. התמונה פורסמה בגילוי מלא וללא כל טשטוש ותרמה לחשיפת זהות הקטין. בהינתן שהרשות להגנת הפרטיות פועלת תחת משרד המשפטים ושהשר אחראי על ביצוע חוק הגנת הפרטיות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תורה על נקיטת צעדי אכיפה נגד השר, לשכתו, והמשטרה?</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22/05/2024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A0ACD760-8BB4-47EA-8E64-DA533264EFC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2217022</vt:r8>
  </property>
</Properties>
</file>