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דרישות תשלום בגין רכבים ללא רישיון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ב' התשפ"ד (28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התחבורה מטיל קנסות על בעלי רכבים ישנים שלא חידשו את רישיון רכבם.  צו המרכז לגביית קנסות המאפשר את דרישות התשלום מפנה  לסעיף 3(ג) לפקודת התעבורה: "בעד רשיון רכב או חידושו תשולם האגרה".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דרישות החוב אינה עומדת בנוסח הצו ובפקודה ומדוע המשרד לא יפסיק להטיל חובות ועיקולים?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BFCA56-E281-44F9-8F4B-B2FEB0E05C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2216765</vt:r8>
  </property>
</Properties>
</file>