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של 4% באי השוויון המגדרי בישראל בכל תחומי החיים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התשפ"ד (11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הבוקר (8.1.24) פורסם מדד המגדר של מכון ון-ליר ל-2023.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הפערים המגדריים העמיקו בממדי האלימות, העוצמה, העוני, וחלוקת הזמן; ואף החמירו עם המלחמה.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המלחמה מלמדת שהיעדר מגוון מגדרי, עלול להוביל להשלכות ביטחוניות קשות מנשוא, והדגיש את החשיבות בגיוון.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תפעלי לצמצום הפערים בכל התחומים?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תפעלי להגדלת הייצוג בפורום מקבלי החלטות?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1B3DD1E-0361-44F4-9535-4881CA8CDA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2213474</vt:r8>
  </property>
</Properties>
</file>