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שיעור גביית הקנסות בשל הפרות בטיחות בעבודה - 22% בלבד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בטבת התשפ"ד (8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ועדת העבודה והרווחה מיום 26.12.23 נחשף נתון מדאיג: מאז 2018 רק 22% מהקנסות שהוטלו בשל הפרות בטיחות בעבודה נגבו בפועל. כלומר, כ-80% מהקנסות כלל לא נאכפו, חרף עלייה בשיעור תאונות העבודה הקטלניות במהלך התקופה.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תפעל להעלאת שיעור הגבייה ולהגנה על בטיחות העובדים?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על גביית הקנסות "האבודים"?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722D33D-F399-4628-A238-313CC45B6F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2213140</vt:r8>
  </property>
</Properties>
</file>