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סטטוס מימוש הכספים הקואליציוניים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בחשוון התשפ"ד (31 באוקטובר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פרוץ מלחמת ״חרבות ברזל״, נדרשת בחינה מחדש של מימוש הכספים הקואליציוניים והעברתם למאמץ המלחמתי.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מומש מתוך אותם כספים?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מתכוון המשרד לעשות עם הכספים שטרם מומשו?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כוונה לנתב את אותם כספים למאמץ המלחמתי?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21/11/2023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AAF7B9-B1FD-478C-9C27-CEEAFDBB59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2210927</vt:r8>
  </property>
</Properties>
</file>