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חתימת נוטריון להליכי מיצוי זכויות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באב התשפ"ג (30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בוגרי מוסדות חוץ-ביתיות טענו שבחלק מתהליכי מיצוי הזכויות הם נדרשים לספק חתימת נוטריון. חתימה כזאת היא הוצאה כספית גבוהה עבור אותם צעירים.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באילו פרוצדורות נדרשים הצעירים לספק חתימת נוטריון ובאילו חתימת עו"ס?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2.</w:t>
      </w:r>
      <w:r>
        <w:tab/>
      </w:r>
      <w:r>
        <w:rPr xmlns:w="http://schemas.openxmlformats.org/wordprocessingml/2006/main">
          <w:rFonts w:hint="cs" w:ascii="Tahoma" w:hAnsi="Tahoma" w:cs="David"/>
          <w:rtl/>
        </w:rPr>
        <w:t xml:space="preserve">האם המדינה מספקת שירותי נוטריון בעלות חינמית או מופחתת עבור אותם צעירים?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7E6F5D8-19C1-4026-B686-9EDCA80F1C5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2209766</vt:r8>
  </property>
</Properties>
</file>