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450.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יישום הלקחים מאסון צפית במשרדי הממשלה בעניין הוראות הבטיחות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השרה למשימות לאומיות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באב התשפ"ג (30 ביולי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למרות שקמה ועדת בדיקה, לא בוצעו שינויים בדבר הפיקוח על החלטות מנהלי המכינות ע"י חדר המצב של משרד החינוך, למרות האסון הכבד שפקד את חייהם של עשרה נערים באסון נחל צפית בשנת 2018</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בכוונת המשרד להעביר את הפיקוח וההחלטות על הבטיחות לחדר המצב במשרד החינוך?</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אם לא,מהו הפתרון?</w:t>
      </w:r>
      <w:r>
        <w:br/>
      </w:r>
      <w:r>
        <w:rPr xmlns:w="http://schemas.openxmlformats.org/wordprocessingml/2006/main">
          <w:rFonts w:hint="cs" w:ascii="Tahoma" w:hAnsi="Tahoma" w:cs="David"/>
          <w:rtl/>
        </w:rPr>
        <w:t xml:space="preserve"> </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18/10/2023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BCE9078-A3AE-4E64-8E99-250B86A6510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2208872</vt:r8>
  </property>
</Properties>
</file>