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פריסת קווי תקשורת מתקדמת וסיבים אופטייים ברשויות ערביות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התוכנית הכלכלית לצמצום פערים בחברה הערבית לשנת 2026 מצאה שקיימתו חשיבות לחיבור היישובים הערבים לרשת תקשורת איכותית ומהירה לאור הפערים בין תשתיות התקשורת ביישובים הערבים ליישובים היהודים.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התקשורת עומד ביעדי החובה לפריסת קווי תקשורת מתקדמת ברשויות ערביות?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תפעל לצמצום הפער בנגישות לרשתות סיבים אופטיים של רשויות ערביות?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5E5163D-0C04-43BB-81F6-8DA672D525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2207959</vt:r8>
  </property>
</Properties>
</file>