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הקשחת הרגולציה לגידור ותחזוק בריכות פרטיות למען הגנה על ילדים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בתמוז התשפ"ג (29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מנתוני ארגון "בטרם לבטיחות ילדים" עולה שבחמש השנים האחרונות חלה עלייה של 43% בטביעת תינוקות ופעוטות ושעיקר התביעות מתרחשות בבריכות פרטיות. באופן כללי, טביעה הפכה לגורם התמותה השני בתאונות בקרב ילדים ובני נוער, בין היתר בשל היעדר רגולציה לגידור בריכות פרטיות.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לתיקון הרגולוציה על גידור ותחזוק בריכות פרטיות?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E4E7251-045B-404D-83CA-D6CEF1245D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2207953</vt:r8>
  </property>
</Properties>
</file>