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הדפסת פתקי הצבעה לבחירות לרשויות המקומיות באופן אחיד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בתמוז התשפ"ג (29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בבחירות לכנסת, ועדת הבחירות מדפיסה את פתקי ההצבעה. לעומת זאת, לפי סעיף 14(ג) לתקנות הרשויות המקומיות (סדרי בחירות), "באי-כח הרשימות יספקו את פתקי ההצבעה של רשימותיהם ארוזות בחבילות, בכמויות שיקבע מנהל הבחירות".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הדפסה עצמאית באמצעות הרשימות גורמות לבירוקרטיה, הוצאות מיותרות וחוסר אחידות.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יתוקנו התקנות שפקיד הבחירות ידפיס בעצמו את כל פתקי ההצבעה?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943B814-4560-496E-9D68-9930F6A496F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2207863</vt:r8>
  </property>
</Properties>
</file>