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352.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אכיפת החוק להסדרת הפיקוח על הכלבים - כלבים מסוכנים </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גלעד קריב</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החקלאות ופיתוח הכפר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בתמוז התשפ"ג (21 ביוני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ללשכתי הגיעו פניות מבעלי כלבים, חלקם נעזרים בכלבי שירות, אלו תיארו תחושות חוסר ביטחון להם ולכלביהם מאחר וכלבים המוגדרים בחוק ככלבים מסוכנים מסתובבים ללא שום ריסון כאשר אין מערכת אכיפה ברורה. </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עושה משרדך מול כלבים מסוכנים משוחררים ללא מחסום </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כמה פניות נפתחו על תקיפת כלבים ואילו סנקציות ננקטו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12/07/2023</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AF33C8E-BC88-4427-8709-53A337E4385E}"/>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2207452</vt:r8>
  </property>
</Properties>
</file>