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התקשרות עם עמותות בחו״ל לקידום אג'נדה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התפוצות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בתמוז התשפ"ג (12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עלה לכותרות חוק העמותות, הנובע מחשש הקואליציה מקידום אג'נדה באמצעות כסף זר שמועבר לעמותות.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מקיים קשר עם עמותות במדינות זרות על מנת לקדם אג'נדות?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7428A9-4F9F-46BC-B566-5DDC389C1F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2206500</vt:r8>
  </property>
</Properties>
</file>