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תת-האיוש במחלקות לבריאות הנפש וסגירתן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התאבדותה של לבנת גרין, לאחר שהייתה אמורה להתחיל טיפול שנדחה, ועל רקע דיוני התקציב פורסמו שנית נתוני תת-האיוש במחלקות לבריאות הנפש וסגירתן.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מתכוון המשרד לצמצם את זמני ההמתנה למחלקות הנ"ל?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מתכננת הממשלה להמשיך את התקצוב הייעודי למחלקות שהממשלה הקודמת הכניסה להסכמים הקואליציוניים? אם כן מאיזה סעיף תקציבי?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4C2C2B5-A2C7-4713-8C6B-3F6B10B7DB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2205552</vt:r8>
  </property>
</Properties>
</file>