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הפיקוח הרגולטורי על קבלני חתימות בפרויקט התחדשות עירונית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סכנת רעידת האדמה הפנתה זרקור לחשיבות ההתחדשות העירונית, בעיקר בפרירפיה החברתית-גיאוגרפית. אולם, מתחמים רבים תקועים בשל מעורבות קבלני חתימות שפועלים להגדלת רווחם הכלכלי על חשבון היעד החברתי והבטיחות, תוך הבלטת חולשת החקיקה המפקחת (חוק המארגנים).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להקשחה רגולטורית נגד קבלני החתימות ולעצירת תופעת הסחר בחתימות הדיירים?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693FB5-B172-4FE1-9E1C-B9EAE7028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2201671</vt:r8>
  </property>
</Properties>
</file>