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קנסות שהוטלו בעקבות תיקון 16 לחוק התכנון והבניה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בשבט התשפ"ג (19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תיקון 16 לחוק התכנון והבניה נחקק בשנת 2016, ובעקבותו הוטלו קנסות על אזרחי המדינה.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קנסות הוטלו בעקבות החוק?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שיעור הקנסות שהוטלו בחברה הערבית?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קנסות שולמו בפועל?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שיעור הקנסות ששולמו בחברה הערבית?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12/03/2023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E462158-4249-4A9A-87E0-39732FDA32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2201318</vt:r8>
  </property>
</Properties>
</file>