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שוויון בחינוך ופערים חמורים בתקצוב של רשויות מקומיות את החינוך על בסיס העושר המוניציפלי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התשפ"ג (6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כמי שידוע שנאבק למען השוויון בנטל במשך שנים, ובהמשך לדברייך מועדת הכספים על הפערים הקיימים בין מוסדות החינוך והתוספות התקציביות ציינת כי "יש פערים שראשי הערים יצטרכו לסגור".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וכיצד בכוונתך לפעול לצמצום הנ"ל ובמיוחד בעניין הפער הנובע מעושר מוניציפלי של הרשויות, שממוקמות בשטח שהוסמכו לשלוט בו על ידי המדינה?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CCB2465-65E0-446A-B8CC-392CC6FEA4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2200406</vt:r8>
  </property>
</Properties>
</file>