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78.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הנחיות חדשות בעניין התבטאיות פוליטיות של עובדי הוראה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אימאן ח'טיב יאסין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בשבט התשפ"ג (6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אגף בכיר משמעת וטוהר המידות במשרד , שלח למנהלים ומנהלות במערכת החינוך, תחת הכותרת רענון הנחיות בהקשר להתבטאויות פוליטית, דרישה שיש בה פגיעה בחופש הביטוי ובזכות לגיטימית להביע דעה שונה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בקשה זו לא באה בניגוד עם חוק ייסוד כבוד האדם וחופש הביטוי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משרד החינוך מודע למידת הפגיעה באפשרת פיתוח אישיות של תלמיד חושב,חקרן, מודע ואחראי כלפי עצמו וכלפי החברה שהוא חיי בתוכה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27/02/2023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4FDC54E-8155-4787-8F22-D4BFAD22184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2200397</vt:r8>
  </property>
</Properties>
</file>