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61.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הכשרות דיינים בדבר אלימות במשפחה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מטי צרפתי הרכבי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 לשירותי דת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י' בשבט התשפ"ג (1 בפברואר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בתי-הדין הרבניים עוסקים בסוגיות רגישות של חיי המשפחה ואמורים לתת מענה למצבים מורכבים. קיימים כיום מקרים רבים של אלימות במשפחה, בין בני זוג, כלפי ילדים וכן גם אלימות כלכלית.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לצורך פסיקת בתי-הדין המותאמת להתמודדות עם נסיבות חיי בני-הזוג, נדרש לתת לדיינים כלים וידע בתחום האלימות במשפחה. האם מתקיימות הכשרות בנושא?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22/02/2023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84C37DD6-46AE-4216-9C83-0DF6F76E438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2199871</vt:r8>
  </property>
</Properties>
</file>