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4425.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מענה בחוק הקיים לנזק עקיף לקרקעות חקלאיות שנפגעו במלחמה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בניסן התשפ"ו (19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העובדה שמנגנון הפיצוי הקיים בחוק מס רכוש וקרן פיצויים מותאם בעיקר לפגיעה בפעילות עסקית שוטפת ולירידה במחזור הכנסות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מתכוון משרד האוצר לתת מענה לבעלי קרקעות חקלאיות שנפגעו פגיעה כלכלית ממשית ומתמשכת עקב המלחמה, ואינם נכללים בהסדר הקיים?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B2D125F-9F64-4072-AB55-4A671D57D0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2241784</vt:r8>
  </property>
</Properties>
</file>