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4267.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מחויבות ישראל לאמנת האקלים והסכם פריז</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בשבט התשפ"ו (2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בשבוע שעבר פורסם שהנחית לבחון משיכת חתימתה של ישראל מאמנת האקלים ופרישה מהסכם פריז. הדבר אינו רק פסול מוסרית, לאור משבר האקלים הקשה, אלא גם מסכן את מעמדה הבינלאומי והכלכלי של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תתחייבי לשמור על ישראל בהסכם ובאמנה?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15F7A30-8C8B-4B8F-96A2-719D91B95F0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2240005</vt:r8>
  </property>
</Properties>
</file>