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משבר הפקקים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התשפ"ו (22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הכבישים בישראל הם הצפופים ביותר במדינות ה-OECD. הפקקים פוגעים בבריאות האזרחים, מעלים את רמת זיהום האוויר, ועולים למשק עשרות מיליארדי שקלים בשנה.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הערכת האוצר לעלות הכלכלית של הפקקים, ומתי עודכנה לאחרונה עבודת המטה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תכניות לפיתוח התחבורה הציבורית יכללו בתקציב המדינה לשנת 2026? וכיצד נבחנה יעילותן להפחתת הפקקים?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476C64-A1E2-4716-88CE-2ACAF8777F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2238120</vt:r8>
  </property>
</Properties>
</file>