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855" w:rsidRDefault="00815166" w:rsidP="00815166">
      <w:pPr>
        <w:spacing w:line="360" w:lineRule="auto"/>
        <w:jc w:val="right"/>
        <w:rPr>
          <w:rFonts w:ascii="David" w:hAnsi="David" w:cs="David"/>
          <w:b/>
          <w:bCs/>
          <w:sz w:val="24"/>
          <w:szCs w:val="24"/>
          <w:u w:val="single"/>
          <w:rtl/>
        </w:rPr>
      </w:pPr>
      <w:r>
        <w:rPr>
          <w:rFonts w:ascii="David" w:hAnsi="David" w:cs="David" w:hint="cs"/>
          <w:b/>
          <w:bCs/>
          <w:sz w:val="24"/>
          <w:szCs w:val="24"/>
          <w:u w:val="single"/>
          <w:rtl/>
        </w:rPr>
        <w:t>החלטה מס'</w:t>
      </w:r>
      <w:r w:rsidR="00634D52">
        <w:rPr>
          <w:rFonts w:ascii="David" w:hAnsi="David" w:cs="David" w:hint="cs"/>
          <w:b/>
          <w:bCs/>
          <w:sz w:val="24"/>
          <w:szCs w:val="24"/>
          <w:u w:val="single"/>
          <w:rtl/>
        </w:rPr>
        <w:t xml:space="preserve"> 25/25</w:t>
      </w:r>
    </w:p>
    <w:p w:rsidR="00815166" w:rsidRDefault="00EC5016" w:rsidP="00EC5016">
      <w:pPr>
        <w:tabs>
          <w:tab w:val="left" w:pos="2256"/>
        </w:tabs>
        <w:spacing w:line="360" w:lineRule="auto"/>
        <w:rPr>
          <w:rFonts w:ascii="David" w:hAnsi="David" w:cs="David"/>
          <w:sz w:val="24"/>
          <w:szCs w:val="24"/>
          <w:rtl/>
        </w:rPr>
      </w:pPr>
      <w:r>
        <w:rPr>
          <w:rFonts w:ascii="David" w:hAnsi="David" w:cs="David"/>
          <w:sz w:val="24"/>
          <w:szCs w:val="24"/>
          <w:rtl/>
        </w:rPr>
        <w:tab/>
      </w:r>
    </w:p>
    <w:p w:rsidR="00815166" w:rsidRPr="00815166" w:rsidRDefault="00815166" w:rsidP="00815166">
      <w:pPr>
        <w:spacing w:line="240" w:lineRule="auto"/>
        <w:jc w:val="center"/>
        <w:rPr>
          <w:rFonts w:ascii="David" w:hAnsi="David" w:cs="David"/>
          <w:b/>
          <w:bCs/>
          <w:sz w:val="24"/>
          <w:szCs w:val="24"/>
          <w:rtl/>
        </w:rPr>
      </w:pPr>
      <w:r w:rsidRPr="00815166">
        <w:rPr>
          <w:rFonts w:ascii="David" w:hAnsi="David" w:cs="David" w:hint="cs"/>
          <w:b/>
          <w:bCs/>
          <w:sz w:val="24"/>
          <w:szCs w:val="24"/>
          <w:rtl/>
        </w:rPr>
        <w:t>החלטת ועדת האתיקה</w:t>
      </w:r>
    </w:p>
    <w:p w:rsidR="00815166" w:rsidRDefault="00815166" w:rsidP="00634D52">
      <w:pPr>
        <w:spacing w:after="0" w:line="240" w:lineRule="auto"/>
        <w:jc w:val="center"/>
        <w:rPr>
          <w:rFonts w:ascii="David" w:hAnsi="David" w:cs="David"/>
          <w:b/>
          <w:bCs/>
          <w:sz w:val="24"/>
          <w:szCs w:val="24"/>
          <w:u w:val="single"/>
          <w:rtl/>
        </w:rPr>
      </w:pPr>
      <w:bookmarkStart w:id="0" w:name="_GoBack"/>
      <w:r w:rsidRPr="00815166">
        <w:rPr>
          <w:rFonts w:ascii="David" w:hAnsi="David" w:cs="David" w:hint="cs"/>
          <w:b/>
          <w:bCs/>
          <w:sz w:val="24"/>
          <w:szCs w:val="24"/>
          <w:u w:val="single"/>
          <w:rtl/>
        </w:rPr>
        <w:t>בעניין</w:t>
      </w:r>
      <w:r w:rsidR="000D446C">
        <w:rPr>
          <w:rFonts w:ascii="David" w:hAnsi="David" w:cs="David" w:hint="cs"/>
          <w:b/>
          <w:bCs/>
          <w:sz w:val="24"/>
          <w:szCs w:val="24"/>
          <w:u w:val="single"/>
          <w:rtl/>
        </w:rPr>
        <w:t xml:space="preserve"> </w:t>
      </w:r>
      <w:r w:rsidR="00327E9C">
        <w:rPr>
          <w:rFonts w:ascii="David" w:hAnsi="David" w:cs="David" w:hint="cs"/>
          <w:b/>
          <w:bCs/>
          <w:sz w:val="24"/>
          <w:szCs w:val="24"/>
          <w:u w:val="single"/>
          <w:rtl/>
        </w:rPr>
        <w:t>חיסיון פרוטוקולים של דיוני הוועדה</w:t>
      </w:r>
      <w:bookmarkEnd w:id="0"/>
    </w:p>
    <w:p w:rsidR="00634D52" w:rsidRPr="00634D52" w:rsidRDefault="00634D52" w:rsidP="00634D52">
      <w:pPr>
        <w:spacing w:after="0" w:line="240" w:lineRule="auto"/>
        <w:jc w:val="center"/>
        <w:rPr>
          <w:rFonts w:ascii="David" w:hAnsi="David" w:cs="David"/>
          <w:sz w:val="24"/>
          <w:szCs w:val="24"/>
          <w:rtl/>
        </w:rPr>
      </w:pPr>
      <w:r w:rsidRPr="00634D52">
        <w:rPr>
          <w:rFonts w:ascii="David" w:hAnsi="David" w:cs="David" w:hint="cs"/>
          <w:sz w:val="24"/>
          <w:szCs w:val="24"/>
          <w:rtl/>
        </w:rPr>
        <w:t xml:space="preserve">מיום ד' באדר א' </w:t>
      </w:r>
      <w:proofErr w:type="spellStart"/>
      <w:r w:rsidRPr="00634D52">
        <w:rPr>
          <w:rFonts w:ascii="David" w:hAnsi="David" w:cs="David" w:hint="cs"/>
          <w:sz w:val="24"/>
          <w:szCs w:val="24"/>
          <w:rtl/>
        </w:rPr>
        <w:t>התשפ"ד</w:t>
      </w:r>
      <w:proofErr w:type="spellEnd"/>
      <w:r w:rsidRPr="00634D52">
        <w:rPr>
          <w:rFonts w:ascii="David" w:hAnsi="David" w:cs="David" w:hint="cs"/>
          <w:sz w:val="24"/>
          <w:szCs w:val="24"/>
          <w:rtl/>
        </w:rPr>
        <w:t xml:space="preserve"> </w:t>
      </w:r>
      <w:r w:rsidRPr="00634D52">
        <w:rPr>
          <w:rFonts w:ascii="David" w:hAnsi="David" w:cs="David"/>
          <w:sz w:val="24"/>
          <w:szCs w:val="24"/>
          <w:rtl/>
        </w:rPr>
        <w:t>–</w:t>
      </w:r>
      <w:r w:rsidRPr="00634D52">
        <w:rPr>
          <w:rFonts w:ascii="David" w:hAnsi="David" w:cs="David" w:hint="cs"/>
          <w:sz w:val="24"/>
          <w:szCs w:val="24"/>
          <w:rtl/>
        </w:rPr>
        <w:t xml:space="preserve"> 13 בפברואר 2024</w:t>
      </w:r>
    </w:p>
    <w:p w:rsidR="000765C2" w:rsidRDefault="000765C2" w:rsidP="00327E9C">
      <w:pPr>
        <w:spacing w:line="240" w:lineRule="auto"/>
        <w:jc w:val="center"/>
        <w:rPr>
          <w:rFonts w:ascii="David" w:hAnsi="David" w:cs="David"/>
          <w:b/>
          <w:bCs/>
          <w:sz w:val="24"/>
          <w:szCs w:val="24"/>
          <w:u w:val="single"/>
          <w:rtl/>
        </w:rPr>
      </w:pPr>
    </w:p>
    <w:p w:rsidR="00CF22D3" w:rsidRDefault="00CF22D3" w:rsidP="00CF22D3">
      <w:pPr>
        <w:spacing w:line="360" w:lineRule="auto"/>
        <w:jc w:val="both"/>
        <w:rPr>
          <w:rFonts w:ascii="David" w:hAnsi="David" w:cs="David"/>
          <w:sz w:val="24"/>
          <w:szCs w:val="24"/>
          <w:rtl/>
        </w:rPr>
      </w:pPr>
      <w:r>
        <w:rPr>
          <w:rFonts w:ascii="David" w:hAnsi="David" w:cs="David" w:hint="cs"/>
          <w:sz w:val="24"/>
          <w:szCs w:val="24"/>
          <w:rtl/>
        </w:rPr>
        <w:t xml:space="preserve">בהמשך לבקשות שהונחו על שולחנה של ועדת האתיקה העוסקות במסירת פרוטוקולים של ישיבותיה או חומרים אחרים, הוועדה מבקשת להבהיר את השיקולים המנחים אותה במסירת פרוטוקולים.  </w:t>
      </w:r>
    </w:p>
    <w:p w:rsidR="00CF22D3" w:rsidRDefault="00CF22D3" w:rsidP="00CF22D3">
      <w:pPr>
        <w:pStyle w:val="a3"/>
        <w:numPr>
          <w:ilvl w:val="0"/>
          <w:numId w:val="2"/>
        </w:numPr>
        <w:spacing w:line="360" w:lineRule="auto"/>
        <w:jc w:val="both"/>
        <w:rPr>
          <w:rFonts w:ascii="David" w:hAnsi="David" w:cs="David"/>
          <w:sz w:val="24"/>
          <w:szCs w:val="24"/>
        </w:rPr>
      </w:pPr>
      <w:r w:rsidRPr="00370D75">
        <w:rPr>
          <w:rFonts w:ascii="David" w:hAnsi="David" w:cs="David" w:hint="cs"/>
          <w:sz w:val="24"/>
          <w:szCs w:val="24"/>
          <w:rtl/>
        </w:rPr>
        <w:t>סעיף</w:t>
      </w:r>
      <w:r w:rsidRPr="00370D75">
        <w:rPr>
          <w:rFonts w:ascii="David" w:hAnsi="David" w:cs="David"/>
          <w:sz w:val="24"/>
          <w:szCs w:val="24"/>
          <w:rtl/>
        </w:rPr>
        <w:t xml:space="preserve"> 21 לכללי האתיקה קובע כי "הליכי אתיקה נגד חבר הכנסת ודיוני ועדת האתיקה בהם, והמסמכים, הפרוטוקול</w:t>
      </w:r>
      <w:r>
        <w:rPr>
          <w:rFonts w:ascii="David" w:hAnsi="David" w:cs="David"/>
          <w:sz w:val="24"/>
          <w:szCs w:val="24"/>
          <w:rtl/>
        </w:rPr>
        <w:t xml:space="preserve">ים וההחלטות </w:t>
      </w:r>
      <w:proofErr w:type="spellStart"/>
      <w:r>
        <w:rPr>
          <w:rFonts w:ascii="David" w:hAnsi="David" w:cs="David"/>
          <w:sz w:val="24"/>
          <w:szCs w:val="24"/>
          <w:rtl/>
        </w:rPr>
        <w:t>בענינם</w:t>
      </w:r>
      <w:proofErr w:type="spellEnd"/>
      <w:r>
        <w:rPr>
          <w:rFonts w:ascii="David" w:hAnsi="David" w:cs="David"/>
          <w:sz w:val="24"/>
          <w:szCs w:val="24"/>
          <w:rtl/>
        </w:rPr>
        <w:t>, יהיו חסויים</w:t>
      </w:r>
      <w:r w:rsidRPr="00370D75">
        <w:rPr>
          <w:rFonts w:ascii="David" w:hAnsi="David" w:cs="David"/>
          <w:sz w:val="24"/>
          <w:szCs w:val="24"/>
          <w:rtl/>
        </w:rPr>
        <w:t xml:space="preserve"> </w:t>
      </w:r>
      <w:r>
        <w:rPr>
          <w:rFonts w:ascii="David" w:hAnsi="David" w:cs="David" w:hint="cs"/>
          <w:sz w:val="24"/>
          <w:szCs w:val="24"/>
          <w:rtl/>
        </w:rPr>
        <w:t>[...] ו</w:t>
      </w:r>
      <w:r w:rsidRPr="00370D75">
        <w:rPr>
          <w:rFonts w:ascii="David" w:hAnsi="David" w:cs="David"/>
          <w:sz w:val="24"/>
          <w:szCs w:val="24"/>
          <w:rtl/>
        </w:rPr>
        <w:t xml:space="preserve">אין לפרסמם, כולם או מקצתם, אלא ברשות בכתב מאת הועדה ובתנאים שתקבע". </w:t>
      </w:r>
    </w:p>
    <w:p w:rsidR="00CF22D3" w:rsidRPr="00046D50" w:rsidRDefault="00CF22D3" w:rsidP="00CF22D3">
      <w:pPr>
        <w:pStyle w:val="a3"/>
        <w:numPr>
          <w:ilvl w:val="0"/>
          <w:numId w:val="2"/>
        </w:numPr>
        <w:spacing w:line="360" w:lineRule="auto"/>
        <w:jc w:val="both"/>
        <w:rPr>
          <w:rFonts w:ascii="David" w:hAnsi="David" w:cs="David"/>
          <w:sz w:val="24"/>
          <w:szCs w:val="24"/>
        </w:rPr>
      </w:pPr>
      <w:r>
        <w:rPr>
          <w:rFonts w:ascii="David" w:hAnsi="David" w:cs="David" w:hint="cs"/>
          <w:sz w:val="24"/>
          <w:szCs w:val="24"/>
          <w:rtl/>
        </w:rPr>
        <w:t xml:space="preserve">חיסיון זה, </w:t>
      </w:r>
      <w:r w:rsidRPr="00046D50">
        <w:rPr>
          <w:rFonts w:ascii="David" w:hAnsi="David" w:cs="David" w:hint="eastAsia"/>
          <w:sz w:val="24"/>
          <w:szCs w:val="24"/>
          <w:rtl/>
        </w:rPr>
        <w:t>נועד</w:t>
      </w:r>
      <w:r w:rsidRPr="00046D50">
        <w:rPr>
          <w:rFonts w:ascii="David" w:hAnsi="David" w:cs="David"/>
          <w:sz w:val="24"/>
          <w:szCs w:val="24"/>
          <w:rtl/>
        </w:rPr>
        <w:t xml:space="preserve"> לשמירה על פרטיות חברי הכנסת</w:t>
      </w:r>
      <w:r>
        <w:rPr>
          <w:rFonts w:ascii="David" w:hAnsi="David" w:cs="David" w:hint="cs"/>
          <w:sz w:val="24"/>
          <w:szCs w:val="24"/>
          <w:rtl/>
        </w:rPr>
        <w:t xml:space="preserve">. כמו כן, </w:t>
      </w:r>
      <w:r w:rsidRPr="001D35F9">
        <w:rPr>
          <w:rFonts w:ascii="David" w:hAnsi="David" w:cs="David" w:hint="eastAsia"/>
          <w:sz w:val="24"/>
          <w:szCs w:val="24"/>
          <w:rtl/>
        </w:rPr>
        <w:t>יש</w:t>
      </w:r>
      <w:r w:rsidRPr="001D35F9">
        <w:rPr>
          <w:rFonts w:ascii="David" w:hAnsi="David" w:cs="David"/>
          <w:sz w:val="24"/>
          <w:szCs w:val="24"/>
          <w:rtl/>
        </w:rPr>
        <w:t xml:space="preserve"> </w:t>
      </w:r>
      <w:r w:rsidRPr="001D35F9">
        <w:rPr>
          <w:rFonts w:ascii="David" w:hAnsi="David" w:cs="David" w:hint="eastAsia"/>
          <w:sz w:val="24"/>
          <w:szCs w:val="24"/>
          <w:rtl/>
        </w:rPr>
        <w:t>בו</w:t>
      </w:r>
      <w:r w:rsidRPr="001D35F9">
        <w:rPr>
          <w:rFonts w:ascii="David" w:hAnsi="David" w:cs="David"/>
          <w:sz w:val="24"/>
          <w:szCs w:val="24"/>
          <w:rtl/>
        </w:rPr>
        <w:t xml:space="preserve"> </w:t>
      </w:r>
      <w:r w:rsidRPr="001D35F9">
        <w:rPr>
          <w:rFonts w:ascii="David" w:hAnsi="David" w:cs="David" w:hint="eastAsia"/>
          <w:sz w:val="24"/>
          <w:szCs w:val="24"/>
          <w:rtl/>
        </w:rPr>
        <w:t>כדי</w:t>
      </w:r>
      <w:r w:rsidRPr="001D35F9">
        <w:rPr>
          <w:rFonts w:ascii="David" w:hAnsi="David" w:cs="David"/>
          <w:sz w:val="24"/>
          <w:szCs w:val="24"/>
          <w:rtl/>
        </w:rPr>
        <w:t xml:space="preserve"> </w:t>
      </w:r>
      <w:r w:rsidRPr="001D35F9">
        <w:rPr>
          <w:rFonts w:ascii="David" w:hAnsi="David" w:cs="David" w:hint="eastAsia"/>
          <w:sz w:val="24"/>
          <w:szCs w:val="24"/>
          <w:rtl/>
        </w:rPr>
        <w:t>לאפשר</w:t>
      </w:r>
      <w:r w:rsidRPr="001D35F9">
        <w:rPr>
          <w:rFonts w:ascii="David" w:hAnsi="David" w:cs="David"/>
          <w:sz w:val="24"/>
          <w:szCs w:val="24"/>
          <w:rtl/>
        </w:rPr>
        <w:t xml:space="preserve"> </w:t>
      </w:r>
      <w:r w:rsidRPr="001D35F9">
        <w:rPr>
          <w:rFonts w:ascii="David" w:hAnsi="David" w:cs="David" w:hint="eastAsia"/>
          <w:sz w:val="24"/>
          <w:szCs w:val="24"/>
          <w:rtl/>
        </w:rPr>
        <w:t>לחברי</w:t>
      </w:r>
      <w:r w:rsidRPr="001D35F9">
        <w:rPr>
          <w:rFonts w:ascii="David" w:hAnsi="David" w:cs="David"/>
          <w:sz w:val="24"/>
          <w:szCs w:val="24"/>
          <w:rtl/>
        </w:rPr>
        <w:t xml:space="preserve"> </w:t>
      </w:r>
      <w:r w:rsidRPr="001D35F9">
        <w:rPr>
          <w:rFonts w:ascii="David" w:hAnsi="David" w:cs="David" w:hint="eastAsia"/>
          <w:sz w:val="24"/>
          <w:szCs w:val="24"/>
          <w:rtl/>
        </w:rPr>
        <w:t>הוועדה</w:t>
      </w:r>
      <w:r w:rsidRPr="001D35F9">
        <w:rPr>
          <w:rFonts w:ascii="David" w:hAnsi="David" w:cs="David"/>
          <w:sz w:val="24"/>
          <w:szCs w:val="24"/>
          <w:rtl/>
        </w:rPr>
        <w:t xml:space="preserve">, </w:t>
      </w:r>
      <w:r w:rsidRPr="001D35F9">
        <w:rPr>
          <w:rFonts w:ascii="David" w:hAnsi="David" w:cs="David" w:hint="eastAsia"/>
          <w:sz w:val="24"/>
          <w:szCs w:val="24"/>
          <w:rtl/>
        </w:rPr>
        <w:t>המקיימים</w:t>
      </w:r>
      <w:r w:rsidRPr="001D35F9">
        <w:rPr>
          <w:rFonts w:ascii="David" w:hAnsi="David" w:cs="David"/>
          <w:sz w:val="24"/>
          <w:szCs w:val="24"/>
          <w:rtl/>
        </w:rPr>
        <w:t xml:space="preserve"> </w:t>
      </w:r>
      <w:r w:rsidRPr="001D35F9">
        <w:rPr>
          <w:rFonts w:ascii="David" w:hAnsi="David" w:cs="David" w:hint="eastAsia"/>
          <w:sz w:val="24"/>
          <w:szCs w:val="24"/>
          <w:rtl/>
        </w:rPr>
        <w:t>מעין</w:t>
      </w:r>
      <w:r w:rsidRPr="001D35F9">
        <w:rPr>
          <w:rFonts w:ascii="David" w:hAnsi="David" w:cs="David"/>
          <w:sz w:val="24"/>
          <w:szCs w:val="24"/>
          <w:rtl/>
        </w:rPr>
        <w:t xml:space="preserve"> </w:t>
      </w:r>
      <w:r w:rsidRPr="001D35F9">
        <w:rPr>
          <w:rFonts w:ascii="David" w:hAnsi="David" w:cs="David" w:hint="eastAsia"/>
          <w:sz w:val="24"/>
          <w:szCs w:val="24"/>
          <w:rtl/>
        </w:rPr>
        <w:t>משפט</w:t>
      </w:r>
      <w:r w:rsidRPr="001D35F9">
        <w:rPr>
          <w:rFonts w:ascii="David" w:hAnsi="David" w:cs="David"/>
          <w:sz w:val="24"/>
          <w:szCs w:val="24"/>
          <w:rtl/>
        </w:rPr>
        <w:t xml:space="preserve"> </w:t>
      </w:r>
      <w:r w:rsidRPr="001D35F9">
        <w:rPr>
          <w:rFonts w:ascii="David" w:hAnsi="David" w:cs="David" w:hint="eastAsia"/>
          <w:sz w:val="24"/>
          <w:szCs w:val="24"/>
          <w:rtl/>
        </w:rPr>
        <w:t>עמיתים</w:t>
      </w:r>
      <w:r w:rsidRPr="001D35F9">
        <w:rPr>
          <w:rFonts w:ascii="David" w:hAnsi="David" w:cs="David"/>
          <w:sz w:val="24"/>
          <w:szCs w:val="24"/>
          <w:rtl/>
        </w:rPr>
        <w:t xml:space="preserve">, </w:t>
      </w:r>
      <w:r w:rsidRPr="001D35F9">
        <w:rPr>
          <w:rFonts w:ascii="David" w:hAnsi="David" w:cs="David" w:hint="eastAsia"/>
          <w:sz w:val="24"/>
          <w:szCs w:val="24"/>
          <w:rtl/>
        </w:rPr>
        <w:t>לבטא</w:t>
      </w:r>
      <w:r w:rsidRPr="001D35F9">
        <w:rPr>
          <w:rFonts w:ascii="David" w:hAnsi="David" w:cs="David"/>
          <w:sz w:val="24"/>
          <w:szCs w:val="24"/>
          <w:rtl/>
        </w:rPr>
        <w:t xml:space="preserve"> </w:t>
      </w:r>
      <w:r w:rsidRPr="001D35F9">
        <w:rPr>
          <w:rFonts w:ascii="David" w:hAnsi="David" w:cs="David" w:hint="eastAsia"/>
          <w:sz w:val="24"/>
          <w:szCs w:val="24"/>
          <w:rtl/>
        </w:rPr>
        <w:t>את</w:t>
      </w:r>
      <w:r w:rsidRPr="001D35F9">
        <w:rPr>
          <w:rFonts w:ascii="David" w:hAnsi="David" w:cs="David"/>
          <w:sz w:val="24"/>
          <w:szCs w:val="24"/>
          <w:rtl/>
        </w:rPr>
        <w:t xml:space="preserve"> </w:t>
      </w:r>
      <w:r w:rsidRPr="001D35F9">
        <w:rPr>
          <w:rFonts w:ascii="David" w:hAnsi="David" w:cs="David" w:hint="eastAsia"/>
          <w:sz w:val="24"/>
          <w:szCs w:val="24"/>
          <w:rtl/>
        </w:rPr>
        <w:t>עמדתם</w:t>
      </w:r>
      <w:r w:rsidRPr="001D35F9">
        <w:rPr>
          <w:rFonts w:ascii="David" w:hAnsi="David" w:cs="David"/>
          <w:sz w:val="24"/>
          <w:szCs w:val="24"/>
          <w:rtl/>
        </w:rPr>
        <w:t xml:space="preserve"> </w:t>
      </w:r>
      <w:r w:rsidRPr="001D35F9">
        <w:rPr>
          <w:rFonts w:ascii="David" w:hAnsi="David" w:cs="David" w:hint="eastAsia"/>
          <w:sz w:val="24"/>
          <w:szCs w:val="24"/>
          <w:rtl/>
        </w:rPr>
        <w:t>ולקבל</w:t>
      </w:r>
      <w:r w:rsidRPr="001D35F9">
        <w:rPr>
          <w:rFonts w:ascii="David" w:hAnsi="David" w:cs="David"/>
          <w:sz w:val="24"/>
          <w:szCs w:val="24"/>
          <w:rtl/>
        </w:rPr>
        <w:t xml:space="preserve"> </w:t>
      </w:r>
      <w:r w:rsidRPr="001D35F9">
        <w:rPr>
          <w:rFonts w:ascii="David" w:hAnsi="David" w:cs="David" w:hint="eastAsia"/>
          <w:sz w:val="24"/>
          <w:szCs w:val="24"/>
          <w:rtl/>
        </w:rPr>
        <w:t>החלטות</w:t>
      </w:r>
      <w:r w:rsidRPr="001D35F9">
        <w:rPr>
          <w:rFonts w:ascii="David" w:hAnsi="David" w:cs="David"/>
          <w:sz w:val="24"/>
          <w:szCs w:val="24"/>
          <w:rtl/>
        </w:rPr>
        <w:t xml:space="preserve"> </w:t>
      </w:r>
      <w:r w:rsidRPr="001D35F9">
        <w:rPr>
          <w:rFonts w:ascii="David" w:hAnsi="David" w:cs="David" w:hint="eastAsia"/>
          <w:sz w:val="24"/>
          <w:szCs w:val="24"/>
          <w:rtl/>
        </w:rPr>
        <w:t>בהתאם</w:t>
      </w:r>
      <w:r w:rsidRPr="001D35F9">
        <w:rPr>
          <w:rFonts w:ascii="David" w:hAnsi="David" w:cs="David"/>
          <w:sz w:val="24"/>
          <w:szCs w:val="24"/>
          <w:rtl/>
        </w:rPr>
        <w:t xml:space="preserve"> </w:t>
      </w:r>
      <w:r w:rsidRPr="001D35F9">
        <w:rPr>
          <w:rFonts w:ascii="David" w:hAnsi="David" w:cs="David" w:hint="eastAsia"/>
          <w:sz w:val="24"/>
          <w:szCs w:val="24"/>
          <w:rtl/>
        </w:rPr>
        <w:t>לצו</w:t>
      </w:r>
      <w:r w:rsidRPr="001D35F9">
        <w:rPr>
          <w:rFonts w:ascii="David" w:hAnsi="David" w:cs="David"/>
          <w:sz w:val="24"/>
          <w:szCs w:val="24"/>
          <w:rtl/>
        </w:rPr>
        <w:t xml:space="preserve"> </w:t>
      </w:r>
      <w:r w:rsidRPr="001D35F9">
        <w:rPr>
          <w:rFonts w:ascii="David" w:hAnsi="David" w:cs="David" w:hint="eastAsia"/>
          <w:sz w:val="24"/>
          <w:szCs w:val="24"/>
          <w:rtl/>
        </w:rPr>
        <w:t>מצפונם</w:t>
      </w:r>
      <w:r w:rsidRPr="001D35F9">
        <w:rPr>
          <w:rFonts w:ascii="David" w:hAnsi="David" w:cs="David"/>
          <w:sz w:val="24"/>
          <w:szCs w:val="24"/>
          <w:rtl/>
        </w:rPr>
        <w:t xml:space="preserve"> </w:t>
      </w:r>
      <w:r w:rsidRPr="001D35F9">
        <w:rPr>
          <w:rFonts w:ascii="David" w:hAnsi="David" w:cs="David" w:hint="eastAsia"/>
          <w:sz w:val="24"/>
          <w:szCs w:val="24"/>
          <w:rtl/>
        </w:rPr>
        <w:t>ושיקול</w:t>
      </w:r>
      <w:r w:rsidRPr="001D35F9">
        <w:rPr>
          <w:rFonts w:ascii="David" w:hAnsi="David" w:cs="David"/>
          <w:sz w:val="24"/>
          <w:szCs w:val="24"/>
          <w:rtl/>
        </w:rPr>
        <w:t xml:space="preserve"> </w:t>
      </w:r>
      <w:r w:rsidRPr="001D35F9">
        <w:rPr>
          <w:rFonts w:ascii="David" w:hAnsi="David" w:cs="David" w:hint="eastAsia"/>
          <w:sz w:val="24"/>
          <w:szCs w:val="24"/>
          <w:rtl/>
        </w:rPr>
        <w:t>דעתם</w:t>
      </w:r>
      <w:r w:rsidRPr="001D35F9">
        <w:rPr>
          <w:rFonts w:ascii="David" w:hAnsi="David" w:cs="David"/>
          <w:sz w:val="24"/>
          <w:szCs w:val="24"/>
          <w:rtl/>
        </w:rPr>
        <w:t xml:space="preserve">, </w:t>
      </w:r>
      <w:r w:rsidRPr="001D35F9">
        <w:rPr>
          <w:rFonts w:ascii="David" w:hAnsi="David" w:cs="David" w:hint="eastAsia"/>
          <w:sz w:val="24"/>
          <w:szCs w:val="24"/>
          <w:rtl/>
        </w:rPr>
        <w:t>ושלא</w:t>
      </w:r>
      <w:r w:rsidRPr="001D35F9">
        <w:rPr>
          <w:rFonts w:ascii="David" w:hAnsi="David" w:cs="David"/>
          <w:sz w:val="24"/>
          <w:szCs w:val="24"/>
          <w:rtl/>
        </w:rPr>
        <w:t xml:space="preserve"> </w:t>
      </w:r>
      <w:r w:rsidRPr="001D35F9">
        <w:rPr>
          <w:rFonts w:ascii="David" w:hAnsi="David" w:cs="David" w:hint="eastAsia"/>
          <w:sz w:val="24"/>
          <w:szCs w:val="24"/>
          <w:rtl/>
        </w:rPr>
        <w:t>על</w:t>
      </w:r>
      <w:r w:rsidRPr="001D35F9">
        <w:rPr>
          <w:rFonts w:ascii="David" w:hAnsi="David" w:cs="David"/>
          <w:sz w:val="24"/>
          <w:szCs w:val="24"/>
          <w:rtl/>
        </w:rPr>
        <w:t xml:space="preserve"> </w:t>
      </w:r>
      <w:r w:rsidRPr="001D35F9">
        <w:rPr>
          <w:rFonts w:ascii="David" w:hAnsi="David" w:cs="David" w:hint="eastAsia"/>
          <w:sz w:val="24"/>
          <w:szCs w:val="24"/>
          <w:rtl/>
        </w:rPr>
        <w:t>יסוד</w:t>
      </w:r>
      <w:r w:rsidRPr="001D35F9">
        <w:rPr>
          <w:rFonts w:ascii="David" w:hAnsi="David" w:cs="David"/>
          <w:sz w:val="24"/>
          <w:szCs w:val="24"/>
          <w:rtl/>
        </w:rPr>
        <w:t xml:space="preserve"> </w:t>
      </w:r>
      <w:r w:rsidRPr="001D35F9">
        <w:rPr>
          <w:rFonts w:ascii="David" w:hAnsi="David" w:cs="David" w:hint="eastAsia"/>
          <w:sz w:val="24"/>
          <w:szCs w:val="24"/>
          <w:rtl/>
        </w:rPr>
        <w:t>השתייכותם</w:t>
      </w:r>
      <w:r w:rsidRPr="001D35F9">
        <w:rPr>
          <w:rFonts w:ascii="David" w:hAnsi="David" w:cs="David"/>
          <w:sz w:val="24"/>
          <w:szCs w:val="24"/>
          <w:rtl/>
        </w:rPr>
        <w:t xml:space="preserve"> </w:t>
      </w:r>
      <w:r w:rsidRPr="001D35F9">
        <w:rPr>
          <w:rFonts w:ascii="David" w:hAnsi="David" w:cs="David" w:hint="eastAsia"/>
          <w:sz w:val="24"/>
          <w:szCs w:val="24"/>
          <w:rtl/>
        </w:rPr>
        <w:t>הפוליטית</w:t>
      </w:r>
      <w:r w:rsidRPr="001D35F9">
        <w:rPr>
          <w:rFonts w:ascii="David" w:hAnsi="David" w:cs="David"/>
          <w:sz w:val="24"/>
          <w:szCs w:val="24"/>
          <w:rtl/>
        </w:rPr>
        <w:t xml:space="preserve">, </w:t>
      </w:r>
      <w:r w:rsidRPr="001D35F9">
        <w:rPr>
          <w:rFonts w:ascii="David" w:hAnsi="David" w:cs="David" w:hint="eastAsia"/>
          <w:sz w:val="24"/>
          <w:szCs w:val="24"/>
          <w:rtl/>
        </w:rPr>
        <w:t>משמעת</w:t>
      </w:r>
      <w:r w:rsidRPr="001D35F9">
        <w:rPr>
          <w:rFonts w:ascii="David" w:hAnsi="David" w:cs="David"/>
          <w:sz w:val="24"/>
          <w:szCs w:val="24"/>
          <w:rtl/>
        </w:rPr>
        <w:t xml:space="preserve"> </w:t>
      </w:r>
      <w:r w:rsidRPr="001D35F9">
        <w:rPr>
          <w:rFonts w:ascii="David" w:hAnsi="David" w:cs="David" w:hint="eastAsia"/>
          <w:sz w:val="24"/>
          <w:szCs w:val="24"/>
          <w:rtl/>
        </w:rPr>
        <w:t>קואליציונית</w:t>
      </w:r>
      <w:r w:rsidRPr="001D35F9">
        <w:rPr>
          <w:rFonts w:ascii="David" w:hAnsi="David" w:cs="David"/>
          <w:sz w:val="24"/>
          <w:szCs w:val="24"/>
          <w:rtl/>
        </w:rPr>
        <w:t xml:space="preserve"> </w:t>
      </w:r>
      <w:r w:rsidRPr="001D35F9">
        <w:rPr>
          <w:rFonts w:ascii="David" w:hAnsi="David" w:cs="David" w:hint="eastAsia"/>
          <w:sz w:val="24"/>
          <w:szCs w:val="24"/>
          <w:rtl/>
        </w:rPr>
        <w:t>וסיעתית</w:t>
      </w:r>
      <w:r w:rsidRPr="001D35F9">
        <w:rPr>
          <w:rFonts w:ascii="David" w:hAnsi="David" w:cs="David"/>
          <w:sz w:val="24"/>
          <w:szCs w:val="24"/>
          <w:rtl/>
        </w:rPr>
        <w:t xml:space="preserve">, </w:t>
      </w:r>
      <w:r w:rsidRPr="001D35F9">
        <w:rPr>
          <w:rFonts w:ascii="David" w:hAnsi="David" w:cs="David" w:hint="eastAsia"/>
          <w:sz w:val="24"/>
          <w:szCs w:val="24"/>
          <w:rtl/>
        </w:rPr>
        <w:t>או</w:t>
      </w:r>
      <w:r w:rsidRPr="001D35F9">
        <w:rPr>
          <w:rFonts w:ascii="David" w:hAnsi="David" w:cs="David"/>
          <w:sz w:val="24"/>
          <w:szCs w:val="24"/>
          <w:rtl/>
        </w:rPr>
        <w:t xml:space="preserve"> </w:t>
      </w:r>
      <w:r w:rsidRPr="001D35F9">
        <w:rPr>
          <w:rFonts w:ascii="David" w:hAnsi="David" w:cs="David" w:hint="eastAsia"/>
          <w:sz w:val="24"/>
          <w:szCs w:val="24"/>
          <w:rtl/>
        </w:rPr>
        <w:t>כל</w:t>
      </w:r>
      <w:r w:rsidRPr="001D35F9">
        <w:rPr>
          <w:rFonts w:ascii="David" w:hAnsi="David" w:cs="David"/>
          <w:sz w:val="24"/>
          <w:szCs w:val="24"/>
          <w:rtl/>
        </w:rPr>
        <w:t xml:space="preserve"> </w:t>
      </w:r>
      <w:r w:rsidRPr="001D35F9">
        <w:rPr>
          <w:rFonts w:ascii="David" w:hAnsi="David" w:cs="David" w:hint="eastAsia"/>
          <w:sz w:val="24"/>
          <w:szCs w:val="24"/>
          <w:rtl/>
        </w:rPr>
        <w:t>זיקה</w:t>
      </w:r>
      <w:r w:rsidRPr="001D35F9">
        <w:rPr>
          <w:rFonts w:ascii="David" w:hAnsi="David" w:cs="David"/>
          <w:sz w:val="24"/>
          <w:szCs w:val="24"/>
          <w:rtl/>
        </w:rPr>
        <w:t xml:space="preserve"> </w:t>
      </w:r>
      <w:r w:rsidRPr="001D35F9">
        <w:rPr>
          <w:rFonts w:ascii="David" w:hAnsi="David" w:cs="David" w:hint="eastAsia"/>
          <w:sz w:val="24"/>
          <w:szCs w:val="24"/>
          <w:rtl/>
        </w:rPr>
        <w:t>אחרת</w:t>
      </w:r>
      <w:r w:rsidRPr="001D35F9">
        <w:rPr>
          <w:rFonts w:ascii="David" w:hAnsi="David" w:cs="David"/>
          <w:sz w:val="24"/>
          <w:szCs w:val="24"/>
          <w:rtl/>
        </w:rPr>
        <w:t>.</w:t>
      </w:r>
    </w:p>
    <w:p w:rsidR="00CF22D3" w:rsidRPr="00506CBF" w:rsidRDefault="00CF22D3" w:rsidP="00CF22D3">
      <w:pPr>
        <w:pStyle w:val="a3"/>
        <w:numPr>
          <w:ilvl w:val="0"/>
          <w:numId w:val="2"/>
        </w:numPr>
        <w:spacing w:line="360" w:lineRule="auto"/>
        <w:jc w:val="both"/>
        <w:rPr>
          <w:rFonts w:ascii="David" w:hAnsi="David" w:cs="David"/>
          <w:sz w:val="24"/>
          <w:szCs w:val="24"/>
        </w:rPr>
      </w:pPr>
      <w:r w:rsidRPr="00506CBF">
        <w:rPr>
          <w:rFonts w:ascii="David" w:hAnsi="David" w:cs="David" w:hint="cs"/>
          <w:sz w:val="24"/>
          <w:szCs w:val="24"/>
          <w:rtl/>
        </w:rPr>
        <w:t xml:space="preserve">בהחלטת </w:t>
      </w:r>
      <w:r w:rsidRPr="00506CBF">
        <w:rPr>
          <w:rFonts w:ascii="David" w:hAnsi="David" w:cs="David"/>
          <w:sz w:val="24"/>
          <w:szCs w:val="24"/>
          <w:rtl/>
        </w:rPr>
        <w:t xml:space="preserve">ועדת האתיקה מיום כ"א בסיון </w:t>
      </w:r>
      <w:proofErr w:type="spellStart"/>
      <w:r w:rsidRPr="00506CBF">
        <w:rPr>
          <w:rFonts w:ascii="David" w:hAnsi="David" w:cs="David"/>
          <w:sz w:val="24"/>
          <w:szCs w:val="24"/>
          <w:rtl/>
        </w:rPr>
        <w:t>התשס"ח</w:t>
      </w:r>
      <w:proofErr w:type="spellEnd"/>
      <w:r w:rsidRPr="00506CBF">
        <w:rPr>
          <w:rFonts w:ascii="David" w:hAnsi="David" w:cs="David"/>
          <w:sz w:val="24"/>
          <w:szCs w:val="24"/>
          <w:rtl/>
        </w:rPr>
        <w:t xml:space="preserve"> – 24 ביוני 2008 </w:t>
      </w:r>
      <w:proofErr w:type="spellStart"/>
      <w:r w:rsidRPr="00506CBF">
        <w:rPr>
          <w:rFonts w:ascii="David" w:hAnsi="David" w:cs="David"/>
          <w:sz w:val="24"/>
          <w:szCs w:val="24"/>
          <w:rtl/>
        </w:rPr>
        <w:t>בענין</w:t>
      </w:r>
      <w:proofErr w:type="spellEnd"/>
      <w:r w:rsidRPr="00506CBF">
        <w:rPr>
          <w:rFonts w:ascii="David" w:hAnsi="David" w:cs="David"/>
          <w:sz w:val="24"/>
          <w:szCs w:val="24"/>
          <w:rtl/>
        </w:rPr>
        <w:t xml:space="preserve"> "פרסום ומסירה של פרוטוקולים ומסמכים אחרים של הוועדה", הוועדה הדגישה כי היא רואה חשיבות רבה בהתבטאות חופשית של חברי הוועדה, הנסמכת על אי מסירת הפרוטוקולים ושאר החומר הרלוונטי, לגורמים שאינם קשורים לוועדה. </w:t>
      </w:r>
      <w:r>
        <w:rPr>
          <w:rFonts w:ascii="David" w:hAnsi="David" w:cs="David" w:hint="cs"/>
          <w:sz w:val="24"/>
          <w:szCs w:val="24"/>
          <w:rtl/>
        </w:rPr>
        <w:t xml:space="preserve">כמו </w:t>
      </w:r>
      <w:r w:rsidRPr="00506CBF">
        <w:rPr>
          <w:rFonts w:ascii="David" w:hAnsi="David" w:cs="David" w:hint="cs"/>
          <w:sz w:val="24"/>
          <w:szCs w:val="24"/>
          <w:rtl/>
        </w:rPr>
        <w:t xml:space="preserve">כן, נקבעו כללים למסירת הפרוטוקולים של דיוני הוועדה ומסמכים אחרים שלה. </w:t>
      </w:r>
    </w:p>
    <w:p w:rsidR="00CF22D3" w:rsidRDefault="00CF22D3" w:rsidP="00CF22D3">
      <w:pPr>
        <w:pStyle w:val="a3"/>
        <w:numPr>
          <w:ilvl w:val="0"/>
          <w:numId w:val="2"/>
        </w:numPr>
        <w:spacing w:line="360" w:lineRule="auto"/>
        <w:jc w:val="both"/>
        <w:rPr>
          <w:rFonts w:ascii="David" w:hAnsi="David" w:cs="David"/>
          <w:sz w:val="24"/>
          <w:szCs w:val="24"/>
        </w:rPr>
      </w:pPr>
      <w:r w:rsidRPr="00DF0569">
        <w:rPr>
          <w:rFonts w:ascii="David" w:hAnsi="David" w:cs="David"/>
          <w:sz w:val="24"/>
          <w:szCs w:val="24"/>
          <w:rtl/>
        </w:rPr>
        <w:t xml:space="preserve">על אף החשיבות שבחיסיון החומרים לעבודת הוועדה, </w:t>
      </w:r>
      <w:r w:rsidRPr="00DF0569">
        <w:rPr>
          <w:rFonts w:ascii="David" w:hAnsi="David" w:cs="David" w:hint="eastAsia"/>
          <w:sz w:val="24"/>
          <w:szCs w:val="24"/>
          <w:rtl/>
        </w:rPr>
        <w:t>הוועדה</w:t>
      </w:r>
      <w:r w:rsidRPr="00DF0569">
        <w:rPr>
          <w:rFonts w:ascii="David" w:hAnsi="David" w:cs="David"/>
          <w:sz w:val="24"/>
          <w:szCs w:val="24"/>
          <w:rtl/>
        </w:rPr>
        <w:t xml:space="preserve"> </w:t>
      </w:r>
      <w:r>
        <w:rPr>
          <w:rFonts w:ascii="David" w:hAnsi="David" w:cs="David" w:hint="cs"/>
          <w:sz w:val="24"/>
          <w:szCs w:val="24"/>
          <w:rtl/>
        </w:rPr>
        <w:t>ה</w:t>
      </w:r>
      <w:r w:rsidRPr="00DF0569">
        <w:rPr>
          <w:rFonts w:ascii="David" w:hAnsi="David" w:cs="David" w:hint="eastAsia"/>
          <w:sz w:val="24"/>
          <w:szCs w:val="24"/>
          <w:rtl/>
        </w:rPr>
        <w:t>כירה</w:t>
      </w:r>
      <w:r w:rsidRPr="00DF0569">
        <w:rPr>
          <w:rFonts w:ascii="David" w:hAnsi="David" w:cs="David"/>
          <w:sz w:val="24"/>
          <w:szCs w:val="24"/>
          <w:rtl/>
        </w:rPr>
        <w:t xml:space="preserve"> בכך שקיימים מקרים חריגים שבהם האינטרס הציבורי</w:t>
      </w:r>
      <w:r>
        <w:rPr>
          <w:rFonts w:ascii="David" w:hAnsi="David" w:cs="David"/>
          <w:sz w:val="24"/>
          <w:szCs w:val="24"/>
          <w:rtl/>
        </w:rPr>
        <w:t xml:space="preserve"> מחייב את מסירת החומר הרלוונטי</w:t>
      </w:r>
      <w:r>
        <w:rPr>
          <w:rFonts w:ascii="David" w:hAnsi="David" w:cs="David" w:hint="cs"/>
          <w:sz w:val="24"/>
          <w:szCs w:val="24"/>
          <w:rtl/>
        </w:rPr>
        <w:t xml:space="preserve">, </w:t>
      </w:r>
      <w:r w:rsidRPr="00DF0569">
        <w:rPr>
          <w:rFonts w:ascii="David" w:hAnsi="David" w:cs="David" w:hint="eastAsia"/>
          <w:sz w:val="24"/>
          <w:szCs w:val="24"/>
          <w:rtl/>
        </w:rPr>
        <w:t>למשל</w:t>
      </w:r>
      <w:r w:rsidRPr="00DF0569">
        <w:rPr>
          <w:rFonts w:ascii="David" w:hAnsi="David" w:cs="David"/>
          <w:sz w:val="24"/>
          <w:szCs w:val="24"/>
          <w:rtl/>
        </w:rPr>
        <w:t xml:space="preserve"> </w:t>
      </w:r>
      <w:r w:rsidRPr="00DF0569">
        <w:rPr>
          <w:rFonts w:ascii="David" w:hAnsi="David" w:cs="David" w:hint="eastAsia"/>
          <w:sz w:val="24"/>
          <w:szCs w:val="24"/>
          <w:rtl/>
        </w:rPr>
        <w:t>כשהחומר</w:t>
      </w:r>
      <w:r w:rsidRPr="00DF0569">
        <w:rPr>
          <w:rFonts w:ascii="David" w:hAnsi="David" w:cs="David"/>
          <w:sz w:val="24"/>
          <w:szCs w:val="24"/>
          <w:rtl/>
        </w:rPr>
        <w:t xml:space="preserve"> נדרש במסגרת </w:t>
      </w:r>
      <w:r w:rsidRPr="00DF0569">
        <w:rPr>
          <w:rFonts w:ascii="David" w:hAnsi="David" w:cs="David" w:hint="eastAsia"/>
          <w:sz w:val="24"/>
          <w:szCs w:val="24"/>
          <w:rtl/>
        </w:rPr>
        <w:t>הליך</w:t>
      </w:r>
      <w:r w:rsidRPr="00DF0569">
        <w:rPr>
          <w:rFonts w:ascii="David" w:hAnsi="David" w:cs="David"/>
          <w:sz w:val="24"/>
          <w:szCs w:val="24"/>
          <w:rtl/>
        </w:rPr>
        <w:t xml:space="preserve"> </w:t>
      </w:r>
      <w:r w:rsidRPr="00DF0569">
        <w:rPr>
          <w:rFonts w:ascii="David" w:hAnsi="David" w:cs="David" w:hint="eastAsia"/>
          <w:sz w:val="24"/>
          <w:szCs w:val="24"/>
          <w:rtl/>
        </w:rPr>
        <w:t>משפטי</w:t>
      </w:r>
      <w:r w:rsidRPr="00DF0569">
        <w:rPr>
          <w:rFonts w:ascii="David" w:hAnsi="David" w:cs="David"/>
          <w:sz w:val="24"/>
          <w:szCs w:val="24"/>
          <w:rtl/>
        </w:rPr>
        <w:t xml:space="preserve">. </w:t>
      </w:r>
    </w:p>
    <w:p w:rsidR="00CF22D3" w:rsidRPr="006F4E72" w:rsidRDefault="00CF22D3" w:rsidP="00CF22D3">
      <w:pPr>
        <w:pStyle w:val="a3"/>
        <w:numPr>
          <w:ilvl w:val="0"/>
          <w:numId w:val="2"/>
        </w:numPr>
        <w:spacing w:line="360" w:lineRule="auto"/>
        <w:jc w:val="both"/>
        <w:rPr>
          <w:rFonts w:ascii="David" w:hAnsi="David" w:cs="David"/>
          <w:sz w:val="24"/>
          <w:szCs w:val="24"/>
          <w:rtl/>
        </w:rPr>
      </w:pPr>
      <w:r w:rsidRPr="006F4E72">
        <w:rPr>
          <w:rFonts w:ascii="David" w:hAnsi="David" w:cs="David" w:hint="cs"/>
          <w:sz w:val="24"/>
          <w:szCs w:val="24"/>
          <w:rtl/>
        </w:rPr>
        <w:t xml:space="preserve">לפיכך, </w:t>
      </w:r>
      <w:r>
        <w:rPr>
          <w:rFonts w:ascii="David" w:hAnsi="David" w:cs="David" w:hint="cs"/>
          <w:sz w:val="24"/>
          <w:szCs w:val="24"/>
          <w:rtl/>
        </w:rPr>
        <w:t xml:space="preserve">בהתאם לכללים שנקבעו כאמור, </w:t>
      </w:r>
      <w:r w:rsidRPr="006F4E72">
        <w:rPr>
          <w:rFonts w:ascii="David" w:hAnsi="David" w:cs="David" w:hint="cs"/>
          <w:sz w:val="24"/>
          <w:szCs w:val="24"/>
          <w:rtl/>
        </w:rPr>
        <w:t xml:space="preserve">ככל שחבר כנסת מעוניין להגיש בקשה למסירת פרוטוקולים ומסמכים אחרים של הוועדה, עליו להגישה בכתב תוך פירוט ונימוק הרלוונטיות של חשיפת החומר </w:t>
      </w:r>
      <w:r>
        <w:rPr>
          <w:rFonts w:ascii="David" w:hAnsi="David" w:cs="David" w:hint="cs"/>
          <w:sz w:val="24"/>
          <w:szCs w:val="24"/>
          <w:rtl/>
        </w:rPr>
        <w:t>עבורו;</w:t>
      </w:r>
      <w:r w:rsidRPr="006F4E72">
        <w:rPr>
          <w:rFonts w:ascii="David" w:hAnsi="David" w:cs="David" w:hint="cs"/>
          <w:sz w:val="24"/>
          <w:szCs w:val="24"/>
          <w:rtl/>
        </w:rPr>
        <w:t xml:space="preserve"> הבקשה תועבר לחברי הוועדה ו</w:t>
      </w:r>
      <w:r>
        <w:rPr>
          <w:rFonts w:ascii="David" w:hAnsi="David" w:cs="David" w:hint="cs"/>
          <w:sz w:val="24"/>
          <w:szCs w:val="24"/>
          <w:rtl/>
        </w:rPr>
        <w:t>ל</w:t>
      </w:r>
      <w:r w:rsidRPr="006F4E72">
        <w:rPr>
          <w:rFonts w:ascii="David" w:hAnsi="David" w:cs="David" w:hint="cs"/>
          <w:sz w:val="24"/>
          <w:szCs w:val="24"/>
          <w:rtl/>
        </w:rPr>
        <w:t>חברי הכנסת שלקחו חלק בדיון ותינתן להם הזדמנו</w:t>
      </w:r>
      <w:r>
        <w:rPr>
          <w:rFonts w:ascii="David" w:hAnsi="David" w:cs="David" w:hint="cs"/>
          <w:sz w:val="24"/>
          <w:szCs w:val="24"/>
          <w:rtl/>
        </w:rPr>
        <w:t>ת להגיב אליה;</w:t>
      </w:r>
      <w:r w:rsidRPr="006F4E72">
        <w:rPr>
          <w:rFonts w:ascii="David" w:hAnsi="David" w:cs="David" w:hint="cs"/>
          <w:sz w:val="24"/>
          <w:szCs w:val="24"/>
          <w:rtl/>
        </w:rPr>
        <w:t xml:space="preserve"> לאחר מכן, </w:t>
      </w:r>
      <w:r>
        <w:rPr>
          <w:rFonts w:ascii="David" w:hAnsi="David" w:cs="David" w:hint="cs"/>
          <w:sz w:val="24"/>
          <w:szCs w:val="24"/>
          <w:rtl/>
        </w:rPr>
        <w:t xml:space="preserve">הבקשה </w:t>
      </w:r>
      <w:r w:rsidRPr="006F4E72">
        <w:rPr>
          <w:rFonts w:ascii="David" w:hAnsi="David" w:cs="David"/>
          <w:sz w:val="24"/>
          <w:szCs w:val="24"/>
          <w:rtl/>
        </w:rPr>
        <w:t xml:space="preserve">תובא לדיון </w:t>
      </w:r>
      <w:r>
        <w:rPr>
          <w:rFonts w:ascii="David" w:hAnsi="David" w:cs="David" w:hint="cs"/>
          <w:sz w:val="24"/>
          <w:szCs w:val="24"/>
          <w:rtl/>
        </w:rPr>
        <w:t>ב</w:t>
      </w:r>
      <w:r w:rsidRPr="006F4E72">
        <w:rPr>
          <w:rFonts w:ascii="David" w:hAnsi="David" w:cs="David"/>
          <w:sz w:val="24"/>
          <w:szCs w:val="24"/>
          <w:rtl/>
        </w:rPr>
        <w:t xml:space="preserve">וועדה. </w:t>
      </w:r>
      <w:r>
        <w:rPr>
          <w:rFonts w:ascii="David" w:hAnsi="David" w:cs="David" w:hint="cs"/>
          <w:sz w:val="24"/>
          <w:szCs w:val="24"/>
          <w:rtl/>
        </w:rPr>
        <w:t>בישיבתה, תחליט הוועדה ה</w:t>
      </w:r>
      <w:r w:rsidRPr="006F4E72">
        <w:rPr>
          <w:rFonts w:ascii="David" w:hAnsi="David" w:cs="David"/>
          <w:sz w:val="24"/>
          <w:szCs w:val="24"/>
          <w:rtl/>
        </w:rPr>
        <w:t xml:space="preserve">אם </w:t>
      </w:r>
      <w:r>
        <w:rPr>
          <w:rFonts w:ascii="David" w:hAnsi="David" w:cs="David" w:hint="cs"/>
          <w:sz w:val="24"/>
          <w:szCs w:val="24"/>
          <w:rtl/>
        </w:rPr>
        <w:t>ישנו אינטרס ציבורי המחייב את מסי</w:t>
      </w:r>
      <w:r w:rsidRPr="006F4E72">
        <w:rPr>
          <w:rFonts w:ascii="David" w:hAnsi="David" w:cs="David"/>
          <w:sz w:val="24"/>
          <w:szCs w:val="24"/>
          <w:rtl/>
        </w:rPr>
        <w:t>ר</w:t>
      </w:r>
      <w:r>
        <w:rPr>
          <w:rFonts w:ascii="David" w:hAnsi="David" w:cs="David" w:hint="cs"/>
          <w:sz w:val="24"/>
          <w:szCs w:val="24"/>
          <w:rtl/>
        </w:rPr>
        <w:t>ת</w:t>
      </w:r>
      <w:r w:rsidRPr="006F4E72">
        <w:rPr>
          <w:rFonts w:ascii="David" w:hAnsi="David" w:cs="David"/>
          <w:sz w:val="24"/>
          <w:szCs w:val="24"/>
          <w:rtl/>
        </w:rPr>
        <w:t xml:space="preserve"> החומר</w:t>
      </w:r>
      <w:r>
        <w:rPr>
          <w:rFonts w:ascii="David" w:hAnsi="David" w:cs="David" w:hint="cs"/>
          <w:sz w:val="24"/>
          <w:szCs w:val="24"/>
          <w:rtl/>
        </w:rPr>
        <w:t>ים, אילו חומרים למסור וכן את התנאים למסירתם; החלטת הוועדה תועבר בכתב למבקש המידע.</w:t>
      </w:r>
    </w:p>
    <w:p w:rsidR="00CF22D3" w:rsidRDefault="00CF22D3" w:rsidP="00CF22D3">
      <w:pPr>
        <w:pStyle w:val="a3"/>
        <w:numPr>
          <w:ilvl w:val="0"/>
          <w:numId w:val="2"/>
        </w:numPr>
        <w:spacing w:line="360" w:lineRule="auto"/>
        <w:jc w:val="both"/>
        <w:rPr>
          <w:rFonts w:ascii="David" w:hAnsi="David" w:cs="David"/>
          <w:sz w:val="24"/>
          <w:szCs w:val="24"/>
        </w:rPr>
      </w:pPr>
      <w:r w:rsidRPr="006F4E72">
        <w:rPr>
          <w:rFonts w:ascii="David" w:hAnsi="David" w:cs="David" w:hint="cs"/>
          <w:sz w:val="24"/>
          <w:szCs w:val="24"/>
          <w:rtl/>
        </w:rPr>
        <w:t>הוועדה מבקשת להדגיש כי כללים אלה עומדים בעינם</w:t>
      </w:r>
      <w:r>
        <w:rPr>
          <w:rFonts w:ascii="David" w:hAnsi="David" w:cs="David" w:hint="cs"/>
          <w:sz w:val="24"/>
          <w:szCs w:val="24"/>
          <w:rtl/>
        </w:rPr>
        <w:t>,</w:t>
      </w:r>
      <w:r w:rsidRPr="006F4E72">
        <w:rPr>
          <w:rFonts w:ascii="David" w:hAnsi="David" w:cs="David" w:hint="cs"/>
          <w:sz w:val="24"/>
          <w:szCs w:val="24"/>
          <w:rtl/>
        </w:rPr>
        <w:t xml:space="preserve"> </w:t>
      </w:r>
      <w:r>
        <w:rPr>
          <w:rFonts w:ascii="David" w:hAnsi="David" w:cs="David" w:hint="cs"/>
          <w:sz w:val="24"/>
          <w:szCs w:val="24"/>
          <w:rtl/>
        </w:rPr>
        <w:t>ו</w:t>
      </w:r>
      <w:r w:rsidRPr="00DF0569">
        <w:rPr>
          <w:rFonts w:ascii="David" w:hAnsi="David" w:cs="David" w:hint="eastAsia"/>
          <w:sz w:val="24"/>
          <w:szCs w:val="24"/>
          <w:rtl/>
        </w:rPr>
        <w:t>החלטת</w:t>
      </w:r>
      <w:r>
        <w:rPr>
          <w:rFonts w:ascii="David" w:hAnsi="David" w:cs="David" w:hint="cs"/>
          <w:sz w:val="24"/>
          <w:szCs w:val="24"/>
          <w:rtl/>
        </w:rPr>
        <w:t xml:space="preserve"> ועדת האתיקה האמורה </w:t>
      </w:r>
      <w:r w:rsidRPr="00DF0569">
        <w:rPr>
          <w:rFonts w:ascii="David" w:hAnsi="David" w:cs="David"/>
          <w:sz w:val="24"/>
          <w:szCs w:val="24"/>
          <w:rtl/>
        </w:rPr>
        <w:t>יפה גם כיום</w:t>
      </w:r>
      <w:r>
        <w:rPr>
          <w:rFonts w:ascii="David" w:hAnsi="David" w:cs="David" w:hint="cs"/>
          <w:sz w:val="24"/>
          <w:szCs w:val="24"/>
          <w:rtl/>
        </w:rPr>
        <w:t>.</w:t>
      </w:r>
    </w:p>
    <w:p w:rsidR="00CF22D3" w:rsidRDefault="00CF22D3" w:rsidP="00CF22D3">
      <w:pPr>
        <w:pStyle w:val="a3"/>
        <w:numPr>
          <w:ilvl w:val="0"/>
          <w:numId w:val="2"/>
        </w:numPr>
        <w:spacing w:line="360" w:lineRule="auto"/>
        <w:jc w:val="both"/>
        <w:rPr>
          <w:rFonts w:ascii="David" w:hAnsi="David" w:cs="David"/>
          <w:sz w:val="24"/>
          <w:szCs w:val="24"/>
        </w:rPr>
      </w:pPr>
      <w:r>
        <w:rPr>
          <w:rFonts w:ascii="David" w:hAnsi="David" w:cs="David" w:hint="cs"/>
          <w:sz w:val="24"/>
          <w:szCs w:val="24"/>
          <w:rtl/>
        </w:rPr>
        <w:t>הוועדה</w:t>
      </w:r>
      <w:r w:rsidRPr="00DF0569">
        <w:rPr>
          <w:rFonts w:ascii="David" w:hAnsi="David" w:cs="David"/>
          <w:sz w:val="24"/>
          <w:szCs w:val="24"/>
          <w:rtl/>
        </w:rPr>
        <w:t xml:space="preserve"> תאשר מסירת </w:t>
      </w:r>
      <w:r w:rsidRPr="00DF0569">
        <w:rPr>
          <w:rFonts w:ascii="David" w:hAnsi="David" w:cs="David" w:hint="eastAsia"/>
          <w:sz w:val="24"/>
          <w:szCs w:val="24"/>
          <w:rtl/>
        </w:rPr>
        <w:t>פרוטוקולים</w:t>
      </w:r>
      <w:r>
        <w:rPr>
          <w:rFonts w:ascii="David" w:hAnsi="David" w:cs="David" w:hint="cs"/>
          <w:sz w:val="24"/>
          <w:szCs w:val="24"/>
          <w:rtl/>
        </w:rPr>
        <w:t xml:space="preserve"> ומסמכים אחרים של הוועדה</w:t>
      </w:r>
      <w:r w:rsidRPr="00DF0569">
        <w:rPr>
          <w:rFonts w:ascii="David" w:hAnsi="David" w:cs="David"/>
          <w:sz w:val="24"/>
          <w:szCs w:val="24"/>
          <w:rtl/>
        </w:rPr>
        <w:t xml:space="preserve"> </w:t>
      </w:r>
      <w:r w:rsidRPr="00DF0569">
        <w:rPr>
          <w:rFonts w:ascii="David" w:hAnsi="David" w:cs="David" w:hint="eastAsia"/>
          <w:sz w:val="24"/>
          <w:szCs w:val="24"/>
          <w:rtl/>
        </w:rPr>
        <w:t>רק</w:t>
      </w:r>
      <w:r w:rsidRPr="00DF0569">
        <w:rPr>
          <w:rFonts w:ascii="David" w:hAnsi="David" w:cs="David"/>
          <w:sz w:val="24"/>
          <w:szCs w:val="24"/>
          <w:rtl/>
        </w:rPr>
        <w:t xml:space="preserve"> במקרים בהם האינטרס הציבורי בחשיפת החומרים </w:t>
      </w:r>
      <w:r>
        <w:rPr>
          <w:rFonts w:ascii="David" w:hAnsi="David" w:cs="David" w:hint="cs"/>
          <w:sz w:val="24"/>
          <w:szCs w:val="24"/>
          <w:rtl/>
        </w:rPr>
        <w:t>מחייב זאת</w:t>
      </w:r>
      <w:r w:rsidRPr="00DF0569">
        <w:rPr>
          <w:rFonts w:ascii="David" w:hAnsi="David" w:cs="David"/>
          <w:sz w:val="24"/>
          <w:szCs w:val="24"/>
          <w:rtl/>
        </w:rPr>
        <w:t xml:space="preserve">. אינטרס מסוג זה עשוי להיות כאשר החומרים משמשים כחלק מהליך משפטי, ובלבד שהבקשה </w:t>
      </w:r>
      <w:r>
        <w:rPr>
          <w:rFonts w:ascii="David" w:hAnsi="David" w:cs="David" w:hint="cs"/>
          <w:sz w:val="24"/>
          <w:szCs w:val="24"/>
          <w:rtl/>
        </w:rPr>
        <w:t>הוגשה</w:t>
      </w:r>
      <w:r w:rsidRPr="00DF0569">
        <w:rPr>
          <w:rFonts w:ascii="David" w:hAnsi="David" w:cs="David"/>
          <w:sz w:val="24"/>
          <w:szCs w:val="24"/>
          <w:rtl/>
        </w:rPr>
        <w:t xml:space="preserve"> לאחר שחבר הכנסת פתח בהליך שכזה</w:t>
      </w:r>
      <w:r>
        <w:rPr>
          <w:rFonts w:ascii="David" w:hAnsi="David" w:cs="David" w:hint="cs"/>
          <w:sz w:val="24"/>
          <w:szCs w:val="24"/>
          <w:rtl/>
        </w:rPr>
        <w:t xml:space="preserve">. זאת, תוך חיסיון והשחרה של חלק מהפרטים כפי שהוועדה תמצא לנכון </w:t>
      </w:r>
      <w:r>
        <w:rPr>
          <w:rFonts w:ascii="David" w:hAnsi="David" w:cs="David" w:hint="cs"/>
          <w:sz w:val="24"/>
          <w:szCs w:val="24"/>
          <w:rtl/>
        </w:rPr>
        <w:lastRenderedPageBreak/>
        <w:t>בהתאם לנסיבות הבקשה</w:t>
      </w:r>
      <w:r w:rsidRPr="00DF0569">
        <w:rPr>
          <w:rFonts w:ascii="David" w:hAnsi="David" w:cs="David"/>
          <w:sz w:val="24"/>
          <w:szCs w:val="24"/>
          <w:rtl/>
        </w:rPr>
        <w:t>.</w:t>
      </w:r>
      <w:r>
        <w:rPr>
          <w:rFonts w:ascii="David" w:hAnsi="David" w:cs="David" w:hint="cs"/>
          <w:sz w:val="24"/>
          <w:szCs w:val="24"/>
          <w:rtl/>
        </w:rPr>
        <w:t xml:space="preserve"> בשונה מהעבר, ובהתאם לעמדת היועצת המשפטית לכנסת, מסירת הפרוטוקול תתאפשר בנסיבות המצדיקות זאת, לצורך שימוש בכל הליך משפטי</w:t>
      </w:r>
      <w:r>
        <w:rPr>
          <w:rStyle w:val="a6"/>
          <w:rFonts w:ascii="David" w:hAnsi="David" w:cs="David"/>
          <w:sz w:val="24"/>
          <w:szCs w:val="24"/>
          <w:rtl/>
        </w:rPr>
        <w:footnoteReference w:id="1"/>
      </w:r>
      <w:r>
        <w:rPr>
          <w:rFonts w:ascii="David" w:hAnsi="David" w:cs="David" w:hint="cs"/>
          <w:sz w:val="24"/>
          <w:szCs w:val="24"/>
          <w:rtl/>
        </w:rPr>
        <w:t xml:space="preserve">. </w:t>
      </w:r>
    </w:p>
    <w:p w:rsidR="00CF22D3" w:rsidRDefault="00CF22D3" w:rsidP="00CF22D3">
      <w:pPr>
        <w:pStyle w:val="a3"/>
        <w:numPr>
          <w:ilvl w:val="0"/>
          <w:numId w:val="2"/>
        </w:numPr>
        <w:spacing w:line="360" w:lineRule="auto"/>
        <w:jc w:val="both"/>
        <w:rPr>
          <w:rFonts w:ascii="David" w:hAnsi="David" w:cs="David"/>
          <w:sz w:val="24"/>
          <w:szCs w:val="24"/>
        </w:rPr>
      </w:pPr>
      <w:r>
        <w:rPr>
          <w:rFonts w:ascii="David" w:hAnsi="David" w:cs="David" w:hint="cs"/>
          <w:sz w:val="24"/>
          <w:szCs w:val="24"/>
          <w:rtl/>
        </w:rPr>
        <w:t xml:space="preserve">ברקע הדברים, הוועדה מדגישה כי עד היום לאורך השנים ועדת האתיקה לא מסרה לחברי הכנסת פרוטוקולים של ישיבותיה. </w:t>
      </w:r>
    </w:p>
    <w:p w:rsidR="00CF22D3" w:rsidRPr="00561EB9" w:rsidRDefault="00CF22D3" w:rsidP="00CF22D3">
      <w:pPr>
        <w:pStyle w:val="a3"/>
        <w:numPr>
          <w:ilvl w:val="0"/>
          <w:numId w:val="2"/>
        </w:numPr>
        <w:spacing w:line="360" w:lineRule="auto"/>
        <w:jc w:val="both"/>
        <w:rPr>
          <w:rFonts w:ascii="David" w:hAnsi="David" w:cs="David"/>
          <w:sz w:val="24"/>
          <w:szCs w:val="24"/>
        </w:rPr>
      </w:pPr>
      <w:r>
        <w:rPr>
          <w:rFonts w:ascii="David" w:hAnsi="David" w:cs="David" w:hint="cs"/>
          <w:sz w:val="24"/>
          <w:szCs w:val="24"/>
          <w:rtl/>
        </w:rPr>
        <w:t xml:space="preserve">ועדת האתיקה מדגישה כי חריגה מהתנאים שנקבעו בהחלטת הוועדה או שימוש בפרוטוקולים ובמסמכים אחרים של הוועדה שנמסרו שלא לצורך שפורט בבקשה שאושרה, עשויים להוות הפרה של כללי האתיקה. זאת, גם בהתאם להחלטתה העקרונית מיום י"ט בשבט </w:t>
      </w:r>
      <w:proofErr w:type="spellStart"/>
      <w:r>
        <w:rPr>
          <w:rFonts w:ascii="David" w:hAnsi="David" w:cs="David" w:hint="cs"/>
          <w:sz w:val="24"/>
          <w:szCs w:val="24"/>
          <w:rtl/>
        </w:rPr>
        <w:t>התשפ"ד</w:t>
      </w:r>
      <w:proofErr w:type="spellEnd"/>
      <w:r>
        <w:rPr>
          <w:rFonts w:ascii="David" w:hAnsi="David" w:cs="David" w:hint="cs"/>
          <w:sz w:val="24"/>
          <w:szCs w:val="24"/>
          <w:rtl/>
        </w:rPr>
        <w:t xml:space="preserve"> </w:t>
      </w:r>
      <w:r>
        <w:rPr>
          <w:rFonts w:ascii="David" w:hAnsi="David" w:cs="David" w:hint="eastAsia"/>
          <w:sz w:val="24"/>
          <w:szCs w:val="24"/>
          <w:rtl/>
        </w:rPr>
        <w:t>–</w:t>
      </w:r>
      <w:r>
        <w:rPr>
          <w:rFonts w:ascii="David" w:hAnsi="David" w:cs="David" w:hint="cs"/>
          <w:sz w:val="24"/>
          <w:szCs w:val="24"/>
          <w:rtl/>
        </w:rPr>
        <w:t xml:space="preserve"> 29 בינואר 2024 </w:t>
      </w:r>
      <w:proofErr w:type="spellStart"/>
      <w:r>
        <w:rPr>
          <w:rFonts w:ascii="David" w:hAnsi="David" w:cs="David" w:hint="cs"/>
          <w:sz w:val="24"/>
          <w:szCs w:val="24"/>
          <w:rtl/>
        </w:rPr>
        <w:t>בענין</w:t>
      </w:r>
      <w:proofErr w:type="spellEnd"/>
      <w:r>
        <w:rPr>
          <w:rFonts w:ascii="David" w:hAnsi="David" w:cs="David" w:hint="cs"/>
          <w:sz w:val="24"/>
          <w:szCs w:val="24"/>
          <w:rtl/>
        </w:rPr>
        <w:t xml:space="preserve"> "ההליך האתי, דיוני ועדת האתיקה והחלטותיה". </w:t>
      </w:r>
    </w:p>
    <w:p w:rsidR="00CF22D3" w:rsidRPr="003B62A5" w:rsidRDefault="00CF22D3" w:rsidP="00CF22D3">
      <w:pPr>
        <w:pStyle w:val="a3"/>
        <w:numPr>
          <w:ilvl w:val="0"/>
          <w:numId w:val="2"/>
        </w:numPr>
        <w:spacing w:line="360" w:lineRule="auto"/>
        <w:jc w:val="both"/>
        <w:rPr>
          <w:rFonts w:ascii="David" w:hAnsi="David" w:cs="David"/>
          <w:sz w:val="24"/>
          <w:szCs w:val="24"/>
          <w:rtl/>
        </w:rPr>
      </w:pPr>
      <w:r>
        <w:rPr>
          <w:rFonts w:ascii="David" w:hAnsi="David" w:cs="David" w:hint="cs"/>
          <w:sz w:val="24"/>
          <w:szCs w:val="24"/>
          <w:rtl/>
        </w:rPr>
        <w:t>לסיום, הוועדה מביעה תקווה כי גם במקרים בהם ימסרו פרוטוקולים ומסמכים אחרים של הוועדה, חברי הכנסת יעשו בהם שימוש נבון וזהיר, וזאת בשל הרגישות המאפיינת את הוועדה ותכליות החיסיון המפורטות לעיל.</w:t>
      </w:r>
    </w:p>
    <w:p w:rsidR="00AC1F58" w:rsidRDefault="00AC1F58" w:rsidP="00AC1F58">
      <w:pPr>
        <w:spacing w:line="360" w:lineRule="auto"/>
        <w:jc w:val="both"/>
        <w:rPr>
          <w:rFonts w:ascii="David" w:hAnsi="David" w:cs="David"/>
          <w:sz w:val="24"/>
          <w:szCs w:val="24"/>
          <w:rtl/>
        </w:rPr>
      </w:pPr>
    </w:p>
    <w:p w:rsidR="00634D52" w:rsidRDefault="00634D52" w:rsidP="00AC1F58">
      <w:pPr>
        <w:spacing w:line="360" w:lineRule="auto"/>
        <w:jc w:val="both"/>
        <w:rPr>
          <w:rFonts w:ascii="David" w:hAnsi="David" w:cs="David"/>
          <w:sz w:val="24"/>
          <w:szCs w:val="24"/>
          <w:rtl/>
        </w:rPr>
      </w:pPr>
    </w:p>
    <w:p w:rsidR="00634D52" w:rsidRPr="000765C2" w:rsidRDefault="00634D52" w:rsidP="00AC1F58">
      <w:pPr>
        <w:spacing w:line="360" w:lineRule="auto"/>
        <w:jc w:val="both"/>
        <w:rPr>
          <w:rFonts w:ascii="David" w:hAnsi="David" w:cs="David"/>
          <w:sz w:val="24"/>
          <w:szCs w:val="24"/>
          <w:rtl/>
        </w:rPr>
      </w:pPr>
    </w:p>
    <w:p w:rsidR="00AC1F58" w:rsidRDefault="00AC1F58" w:rsidP="00634D52">
      <w:pPr>
        <w:spacing w:after="0"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__________</w:t>
      </w:r>
      <w:r w:rsidR="00634D52">
        <w:rPr>
          <w:rFonts w:ascii="David" w:hAnsi="David" w:cs="David" w:hint="cs"/>
          <w:sz w:val="24"/>
          <w:szCs w:val="24"/>
          <w:rtl/>
        </w:rPr>
        <w:t>__</w:t>
      </w:r>
      <w:r>
        <w:rPr>
          <w:rFonts w:ascii="David" w:hAnsi="David" w:cs="David" w:hint="cs"/>
          <w:sz w:val="24"/>
          <w:szCs w:val="24"/>
          <w:rtl/>
        </w:rPr>
        <w:t>______</w:t>
      </w:r>
    </w:p>
    <w:p w:rsidR="00AC1F58" w:rsidRDefault="00AC1F58" w:rsidP="00634D52">
      <w:pPr>
        <w:spacing w:after="0"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00634D52">
        <w:rPr>
          <w:rFonts w:ascii="David" w:hAnsi="David" w:cs="David" w:hint="cs"/>
          <w:sz w:val="24"/>
          <w:szCs w:val="24"/>
          <w:rtl/>
        </w:rPr>
        <w:t xml:space="preserve">  </w:t>
      </w:r>
      <w:r>
        <w:rPr>
          <w:rFonts w:ascii="David" w:hAnsi="David" w:cs="David" w:hint="cs"/>
          <w:sz w:val="24"/>
          <w:szCs w:val="24"/>
          <w:rtl/>
        </w:rPr>
        <w:t>חבר הכנסת ינון אזולאי</w:t>
      </w:r>
    </w:p>
    <w:p w:rsidR="00AC1F58" w:rsidRPr="00AC1F58" w:rsidRDefault="00AC1F58" w:rsidP="00634D52">
      <w:pPr>
        <w:spacing w:after="0" w:line="240" w:lineRule="auto"/>
        <w:jc w:val="both"/>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00634D52">
        <w:rPr>
          <w:rFonts w:ascii="David" w:hAnsi="David" w:cs="David" w:hint="cs"/>
          <w:sz w:val="24"/>
          <w:szCs w:val="24"/>
          <w:rtl/>
        </w:rPr>
        <w:t xml:space="preserve"> </w:t>
      </w:r>
      <w:r>
        <w:rPr>
          <w:rFonts w:ascii="David" w:hAnsi="David" w:cs="David" w:hint="cs"/>
          <w:sz w:val="24"/>
          <w:szCs w:val="24"/>
          <w:rtl/>
        </w:rPr>
        <w:t>יושב ראש ועדת האתיקה</w:t>
      </w:r>
    </w:p>
    <w:sectPr w:rsidR="00AC1F58" w:rsidRPr="00AC1F58" w:rsidSect="0022558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065" w:rsidRDefault="007B5065" w:rsidP="002D5504">
      <w:pPr>
        <w:spacing w:after="0" w:line="240" w:lineRule="auto"/>
      </w:pPr>
      <w:r>
        <w:separator/>
      </w:r>
    </w:p>
  </w:endnote>
  <w:endnote w:type="continuationSeparator" w:id="0">
    <w:p w:rsidR="007B5065" w:rsidRDefault="007B5065" w:rsidP="002D5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065" w:rsidRDefault="007B5065" w:rsidP="002D5504">
      <w:pPr>
        <w:spacing w:after="0" w:line="240" w:lineRule="auto"/>
      </w:pPr>
      <w:r>
        <w:separator/>
      </w:r>
    </w:p>
  </w:footnote>
  <w:footnote w:type="continuationSeparator" w:id="0">
    <w:p w:rsidR="007B5065" w:rsidRDefault="007B5065" w:rsidP="002D5504">
      <w:pPr>
        <w:spacing w:after="0" w:line="240" w:lineRule="auto"/>
      </w:pPr>
      <w:r>
        <w:continuationSeparator/>
      </w:r>
    </w:p>
  </w:footnote>
  <w:footnote w:id="1">
    <w:p w:rsidR="00CF22D3" w:rsidRDefault="00CF22D3" w:rsidP="00CF22D3">
      <w:pPr>
        <w:pStyle w:val="a4"/>
        <w:jc w:val="both"/>
      </w:pPr>
      <w:r>
        <w:rPr>
          <w:rStyle w:val="a6"/>
        </w:rPr>
        <w:footnoteRef/>
      </w:r>
      <w:r>
        <w:rPr>
          <w:rtl/>
        </w:rPr>
        <w:t xml:space="preserve"> </w:t>
      </w:r>
      <w:r w:rsidRPr="002934C8">
        <w:rPr>
          <w:rFonts w:ascii="David" w:hAnsi="David" w:cs="David" w:hint="eastAsia"/>
          <w:rtl/>
        </w:rPr>
        <w:t>זאת</w:t>
      </w:r>
      <w:r w:rsidRPr="002934C8">
        <w:rPr>
          <w:rFonts w:ascii="David" w:hAnsi="David" w:cs="David"/>
          <w:rtl/>
        </w:rPr>
        <w:t xml:space="preserve"> בשונה מעמדתו של היועץ המשפטי לכנסת בשנת 2014 לפיה ניתן למסור</w:t>
      </w:r>
      <w:r>
        <w:rPr>
          <w:rFonts w:ascii="David" w:hAnsi="David" w:cs="David" w:hint="cs"/>
          <w:rtl/>
        </w:rPr>
        <w:t xml:space="preserve"> פרוטוקול</w:t>
      </w:r>
      <w:r w:rsidRPr="002934C8">
        <w:rPr>
          <w:rFonts w:ascii="David" w:hAnsi="David" w:cs="David"/>
          <w:rtl/>
        </w:rPr>
        <w:t xml:space="preserve"> </w:t>
      </w:r>
      <w:r>
        <w:rPr>
          <w:rFonts w:ascii="David" w:hAnsi="David" w:cs="David" w:hint="cs"/>
          <w:rtl/>
        </w:rPr>
        <w:t>לצורך שימוש ב</w:t>
      </w:r>
      <w:r w:rsidRPr="002934C8">
        <w:rPr>
          <w:rFonts w:ascii="David" w:hAnsi="David" w:cs="David"/>
          <w:rtl/>
        </w:rPr>
        <w:t>הליך משפטי פלילי או אזרחי אך לא ביחס להליך התוקף את החלטת ועדת האתיקה</w:t>
      </w:r>
      <w:r>
        <w:rPr>
          <w:rFonts w:ascii="David" w:hAnsi="David" w:cs="David" w:hint="cs"/>
          <w:rtl/>
        </w:rPr>
        <w:t xml:space="preserve">; </w:t>
      </w:r>
      <w:r w:rsidRPr="001D3CEE">
        <w:rPr>
          <w:rFonts w:ascii="David" w:hAnsi="David" w:cs="David" w:hint="cs"/>
          <w:rtl/>
        </w:rPr>
        <w:t>עם זאת, גם בהליך משפטי התוקף את החלטת ועדת האתיקה, הוועדה תבחן את הצורך במסירת הפרוטוקולים, ורשאית היא בתוך כך להורות על מסירה של חלק מהפרוטוקול</w:t>
      </w:r>
      <w:r>
        <w:rPr>
          <w:rFonts w:ascii="David" w:hAnsi="David" w:cs="David" w:hint="cs"/>
          <w:rtl/>
        </w:rPr>
        <w:t xml:space="preserve"> בלבד </w:t>
      </w:r>
      <w:r w:rsidRPr="001D3CEE">
        <w:rPr>
          <w:rFonts w:ascii="David" w:hAnsi="David" w:cs="David" w:hint="cs"/>
          <w:rtl/>
        </w:rPr>
        <w:t>והשחרתו.</w:t>
      </w:r>
      <w:r w:rsidRPr="001D3CEE">
        <w:rPr>
          <w:rFonts w:ascii="David" w:hAnsi="David" w:cs="David" w:hint="eastAsia"/>
          <w:rtl/>
        </w:rPr>
        <w:t xml:space="preserve"> </w:t>
      </w:r>
      <w:r w:rsidRPr="002934C8">
        <w:rPr>
          <w:rFonts w:ascii="David" w:hAnsi="David" w:cs="David" w:hint="eastAsia"/>
          <w:rtl/>
        </w:rPr>
        <w:t>ראה</w:t>
      </w:r>
      <w:r w:rsidRPr="002934C8">
        <w:rPr>
          <w:rFonts w:ascii="David" w:hAnsi="David" w:cs="David"/>
          <w:rtl/>
        </w:rPr>
        <w:t xml:space="preserve"> </w:t>
      </w:r>
      <w:proofErr w:type="spellStart"/>
      <w:r w:rsidRPr="002934C8">
        <w:rPr>
          <w:rFonts w:ascii="David" w:hAnsi="David" w:cs="David" w:hint="eastAsia"/>
          <w:rtl/>
        </w:rPr>
        <w:t>לענין</w:t>
      </w:r>
      <w:proofErr w:type="spellEnd"/>
      <w:r w:rsidRPr="002934C8">
        <w:rPr>
          <w:rFonts w:ascii="David" w:hAnsi="David" w:cs="David"/>
          <w:rtl/>
        </w:rPr>
        <w:t xml:space="preserve"> זה גם בג"ץ 6706/14 </w:t>
      </w:r>
      <w:r w:rsidRPr="002934C8">
        <w:rPr>
          <w:rFonts w:ascii="David" w:hAnsi="David" w:cs="David"/>
          <w:b/>
          <w:bCs/>
          <w:rtl/>
        </w:rPr>
        <w:t xml:space="preserve">ח"כ </w:t>
      </w:r>
      <w:proofErr w:type="spellStart"/>
      <w:r w:rsidRPr="002934C8">
        <w:rPr>
          <w:rFonts w:ascii="David" w:hAnsi="David" w:cs="David"/>
          <w:b/>
          <w:bCs/>
          <w:rtl/>
        </w:rPr>
        <w:t>חנין</w:t>
      </w:r>
      <w:proofErr w:type="spellEnd"/>
      <w:r w:rsidRPr="002934C8">
        <w:rPr>
          <w:rFonts w:ascii="David" w:hAnsi="David" w:cs="David"/>
          <w:b/>
          <w:bCs/>
          <w:rtl/>
        </w:rPr>
        <w:t xml:space="preserve"> </w:t>
      </w:r>
      <w:proofErr w:type="spellStart"/>
      <w:r w:rsidRPr="002934C8">
        <w:rPr>
          <w:rFonts w:ascii="David" w:hAnsi="David" w:cs="David"/>
          <w:b/>
          <w:bCs/>
          <w:rtl/>
        </w:rPr>
        <w:t>זועבי</w:t>
      </w:r>
      <w:proofErr w:type="spellEnd"/>
      <w:r w:rsidRPr="002934C8">
        <w:rPr>
          <w:rFonts w:ascii="David" w:hAnsi="David" w:cs="David"/>
          <w:b/>
          <w:bCs/>
          <w:rtl/>
        </w:rPr>
        <w:t xml:space="preserve"> נ' ועדת האתיקה של הכנסת</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016" w:rsidRDefault="00EC501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5FD2"/>
    <w:multiLevelType w:val="hybridMultilevel"/>
    <w:tmpl w:val="FAAA094E"/>
    <w:lvl w:ilvl="0" w:tplc="5A6C4EF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63076E"/>
    <w:multiLevelType w:val="hybridMultilevel"/>
    <w:tmpl w:val="FB128378"/>
    <w:lvl w:ilvl="0" w:tplc="F376AE72">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 w15:restartNumberingAfterBreak="0">
    <w:nsid w:val="410648ED"/>
    <w:multiLevelType w:val="hybridMultilevel"/>
    <w:tmpl w:val="358EE3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859402B"/>
    <w:multiLevelType w:val="hybridMultilevel"/>
    <w:tmpl w:val="B0F66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166"/>
    <w:rsid w:val="00001980"/>
    <w:rsid w:val="00011C10"/>
    <w:rsid w:val="00046D50"/>
    <w:rsid w:val="00056C46"/>
    <w:rsid w:val="000765C2"/>
    <w:rsid w:val="00087649"/>
    <w:rsid w:val="000B07EC"/>
    <w:rsid w:val="000C0254"/>
    <w:rsid w:val="000D446C"/>
    <w:rsid w:val="000E1E6E"/>
    <w:rsid w:val="00167FF8"/>
    <w:rsid w:val="001823CD"/>
    <w:rsid w:val="001860B8"/>
    <w:rsid w:val="00190748"/>
    <w:rsid w:val="001B0730"/>
    <w:rsid w:val="001D35F9"/>
    <w:rsid w:val="001D3CEE"/>
    <w:rsid w:val="00211164"/>
    <w:rsid w:val="0021386F"/>
    <w:rsid w:val="00222B48"/>
    <w:rsid w:val="0022558B"/>
    <w:rsid w:val="00231B00"/>
    <w:rsid w:val="002541F1"/>
    <w:rsid w:val="00265A29"/>
    <w:rsid w:val="002934C8"/>
    <w:rsid w:val="002A6942"/>
    <w:rsid w:val="002C7855"/>
    <w:rsid w:val="002D5504"/>
    <w:rsid w:val="002E21CB"/>
    <w:rsid w:val="002F1311"/>
    <w:rsid w:val="002F2EDD"/>
    <w:rsid w:val="00327E9C"/>
    <w:rsid w:val="00370D75"/>
    <w:rsid w:val="00372B4A"/>
    <w:rsid w:val="003B62A5"/>
    <w:rsid w:val="003E3754"/>
    <w:rsid w:val="003F63BD"/>
    <w:rsid w:val="00414ECE"/>
    <w:rsid w:val="00477173"/>
    <w:rsid w:val="00487752"/>
    <w:rsid w:val="00490BE0"/>
    <w:rsid w:val="004E4B7D"/>
    <w:rsid w:val="004F623B"/>
    <w:rsid w:val="0050025B"/>
    <w:rsid w:val="00506CBF"/>
    <w:rsid w:val="00537DEE"/>
    <w:rsid w:val="005561EC"/>
    <w:rsid w:val="00580D6F"/>
    <w:rsid w:val="00583D2C"/>
    <w:rsid w:val="005B13CE"/>
    <w:rsid w:val="005C482C"/>
    <w:rsid w:val="005C7154"/>
    <w:rsid w:val="005E4E95"/>
    <w:rsid w:val="005F1177"/>
    <w:rsid w:val="006327CB"/>
    <w:rsid w:val="00634D52"/>
    <w:rsid w:val="006B575C"/>
    <w:rsid w:val="006C0574"/>
    <w:rsid w:val="006C642C"/>
    <w:rsid w:val="006F4E72"/>
    <w:rsid w:val="00732058"/>
    <w:rsid w:val="007B5065"/>
    <w:rsid w:val="007C709F"/>
    <w:rsid w:val="00802B74"/>
    <w:rsid w:val="008142AA"/>
    <w:rsid w:val="00815166"/>
    <w:rsid w:val="008167F5"/>
    <w:rsid w:val="008279D1"/>
    <w:rsid w:val="00843360"/>
    <w:rsid w:val="008C071C"/>
    <w:rsid w:val="008C4804"/>
    <w:rsid w:val="008F12A4"/>
    <w:rsid w:val="009219D1"/>
    <w:rsid w:val="00923FDB"/>
    <w:rsid w:val="00964444"/>
    <w:rsid w:val="00973DAB"/>
    <w:rsid w:val="009904B6"/>
    <w:rsid w:val="009915A3"/>
    <w:rsid w:val="00A162C5"/>
    <w:rsid w:val="00A30395"/>
    <w:rsid w:val="00A36AA3"/>
    <w:rsid w:val="00A8761F"/>
    <w:rsid w:val="00A93BAF"/>
    <w:rsid w:val="00AC1F58"/>
    <w:rsid w:val="00AD4B50"/>
    <w:rsid w:val="00AF78DB"/>
    <w:rsid w:val="00B2428C"/>
    <w:rsid w:val="00B4331C"/>
    <w:rsid w:val="00B62241"/>
    <w:rsid w:val="00B86BE9"/>
    <w:rsid w:val="00BD53BE"/>
    <w:rsid w:val="00BD5A56"/>
    <w:rsid w:val="00C06CCE"/>
    <w:rsid w:val="00C07316"/>
    <w:rsid w:val="00C203DE"/>
    <w:rsid w:val="00C254A3"/>
    <w:rsid w:val="00C3511F"/>
    <w:rsid w:val="00CA0801"/>
    <w:rsid w:val="00CB097D"/>
    <w:rsid w:val="00CB7386"/>
    <w:rsid w:val="00CF22D3"/>
    <w:rsid w:val="00CF27C2"/>
    <w:rsid w:val="00D14BFE"/>
    <w:rsid w:val="00D712D2"/>
    <w:rsid w:val="00D742CC"/>
    <w:rsid w:val="00DA460A"/>
    <w:rsid w:val="00DD0879"/>
    <w:rsid w:val="00DF03C8"/>
    <w:rsid w:val="00DF0569"/>
    <w:rsid w:val="00DF1BE6"/>
    <w:rsid w:val="00E34114"/>
    <w:rsid w:val="00E876BB"/>
    <w:rsid w:val="00EB03DD"/>
    <w:rsid w:val="00EC5016"/>
    <w:rsid w:val="00EF2F7F"/>
    <w:rsid w:val="00EF750B"/>
    <w:rsid w:val="00F168CB"/>
    <w:rsid w:val="00F87997"/>
    <w:rsid w:val="00FF572D"/>
    <w:rsid w:val="00FF5C50"/>
    <w:rsid w:val="00FF60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68BEDC-A739-4AC0-9711-4B196509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7"/>
    <w:qFormat/>
    <w:rsid w:val="00815166"/>
    <w:pPr>
      <w:ind w:left="720"/>
      <w:contextualSpacing/>
    </w:pPr>
  </w:style>
  <w:style w:type="paragraph" w:styleId="a4">
    <w:name w:val="footnote text"/>
    <w:basedOn w:val="a"/>
    <w:link w:val="a5"/>
    <w:uiPriority w:val="99"/>
    <w:semiHidden/>
    <w:unhideWhenUsed/>
    <w:rsid w:val="002D5504"/>
    <w:pPr>
      <w:spacing w:after="0" w:line="240" w:lineRule="auto"/>
    </w:pPr>
    <w:rPr>
      <w:sz w:val="20"/>
      <w:szCs w:val="20"/>
    </w:rPr>
  </w:style>
  <w:style w:type="character" w:customStyle="1" w:styleId="a5">
    <w:name w:val="טקסט הערת שוליים תו"/>
    <w:basedOn w:val="a0"/>
    <w:link w:val="a4"/>
    <w:uiPriority w:val="99"/>
    <w:semiHidden/>
    <w:rsid w:val="002D5504"/>
    <w:rPr>
      <w:sz w:val="20"/>
      <w:szCs w:val="20"/>
    </w:rPr>
  </w:style>
  <w:style w:type="character" w:styleId="a6">
    <w:name w:val="footnote reference"/>
    <w:basedOn w:val="a0"/>
    <w:uiPriority w:val="99"/>
    <w:semiHidden/>
    <w:unhideWhenUsed/>
    <w:rsid w:val="002D5504"/>
    <w:rPr>
      <w:vertAlign w:val="superscript"/>
    </w:rPr>
  </w:style>
  <w:style w:type="paragraph" w:styleId="a7">
    <w:name w:val="Balloon Text"/>
    <w:basedOn w:val="a"/>
    <w:link w:val="a8"/>
    <w:uiPriority w:val="99"/>
    <w:semiHidden/>
    <w:unhideWhenUsed/>
    <w:rsid w:val="005B13CE"/>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5B13CE"/>
    <w:rPr>
      <w:rFonts w:ascii="Tahoma" w:hAnsi="Tahoma" w:cs="Tahoma"/>
      <w:sz w:val="18"/>
      <w:szCs w:val="18"/>
    </w:rPr>
  </w:style>
  <w:style w:type="paragraph" w:styleId="a9">
    <w:name w:val="Revision"/>
    <w:hidden/>
    <w:uiPriority w:val="99"/>
    <w:semiHidden/>
    <w:rsid w:val="000C0254"/>
    <w:pPr>
      <w:spacing w:after="0" w:line="240" w:lineRule="auto"/>
    </w:pPr>
  </w:style>
  <w:style w:type="paragraph" w:styleId="aa">
    <w:name w:val="header"/>
    <w:basedOn w:val="a"/>
    <w:link w:val="ab"/>
    <w:uiPriority w:val="99"/>
    <w:unhideWhenUsed/>
    <w:rsid w:val="00EC5016"/>
    <w:pPr>
      <w:tabs>
        <w:tab w:val="center" w:pos="4153"/>
        <w:tab w:val="right" w:pos="8306"/>
      </w:tabs>
      <w:spacing w:after="0" w:line="240" w:lineRule="auto"/>
    </w:pPr>
  </w:style>
  <w:style w:type="character" w:customStyle="1" w:styleId="ab">
    <w:name w:val="כותרת עליונה תו"/>
    <w:basedOn w:val="a0"/>
    <w:link w:val="aa"/>
    <w:uiPriority w:val="99"/>
    <w:rsid w:val="00EC5016"/>
  </w:style>
  <w:style w:type="paragraph" w:styleId="ac">
    <w:name w:val="footer"/>
    <w:basedOn w:val="a"/>
    <w:link w:val="ad"/>
    <w:uiPriority w:val="99"/>
    <w:unhideWhenUsed/>
    <w:rsid w:val="00EC5016"/>
    <w:pPr>
      <w:tabs>
        <w:tab w:val="center" w:pos="4153"/>
        <w:tab w:val="right" w:pos="8306"/>
      </w:tabs>
      <w:spacing w:after="0" w:line="240" w:lineRule="auto"/>
    </w:pPr>
  </w:style>
  <w:style w:type="character" w:customStyle="1" w:styleId="ad">
    <w:name w:val="כותרת תחתונה תו"/>
    <w:basedOn w:val="a0"/>
    <w:link w:val="ac"/>
    <w:uiPriority w:val="99"/>
    <w:rsid w:val="00EC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6D639-AA8F-4A75-B36A-EF216C5FC578}">
  <ds:schemaRefs>
    <ds:schemaRef ds:uri="http://schemas.openxmlformats.org/officeDocument/2006/bibliography"/>
  </ds:schemaRefs>
</ds:datastoreItem>
</file>

<file path=customXml/itemProps2.xml><?xml version="1.0" encoding="utf-8"?>
<ds:datastoreItem xmlns:ds="http://schemas.openxmlformats.org/officeDocument/2006/customXml" ds:itemID="{69033DE7-3862-4ECA-9FC3-F2BD00BBF29F}"/>
</file>

<file path=customXml/itemProps3.xml><?xml version="1.0" encoding="utf-8"?>
<ds:datastoreItem xmlns:ds="http://schemas.openxmlformats.org/officeDocument/2006/customXml" ds:itemID="{05A76609-DE18-469A-B399-98C29D0CA69D}"/>
</file>

<file path=customXml/itemProps4.xml><?xml version="1.0" encoding="utf-8"?>
<ds:datastoreItem xmlns:ds="http://schemas.openxmlformats.org/officeDocument/2006/customXml" ds:itemID="{B0BEE108-7A14-4BF7-B502-2BBFE8AFC074}"/>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2462</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Knesset</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טליה אידלס</dc:creator>
  <cp:keywords/>
  <dc:description/>
  <cp:lastModifiedBy>דנה הרש</cp:lastModifiedBy>
  <cp:revision>2</cp:revision>
  <cp:lastPrinted>2024-02-13T13:44:00Z</cp:lastPrinted>
  <dcterms:created xsi:type="dcterms:W3CDTF">2024-02-13T14:13:00Z</dcterms:created>
  <dcterms:modified xsi:type="dcterms:W3CDTF">2024-02-13T14:13:00Z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2214485</vt:r8>
  </property>
</Properties>
</file>