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53C" w:rsidRDefault="003429D7" w:rsidP="001E253C">
      <w:pPr>
        <w:tabs>
          <w:tab w:val="left" w:pos="340"/>
        </w:tabs>
        <w:spacing w:after="120" w:line="360" w:lineRule="auto"/>
        <w:contextualSpacing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החלטה מס' 26/25</w:t>
      </w:r>
    </w:p>
    <w:p w:rsidR="001E253C" w:rsidRDefault="001E253C" w:rsidP="001E253C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</w:rPr>
      </w:pPr>
      <w:r>
        <w:rPr>
          <w:rFonts w:cs="David"/>
          <w:b/>
          <w:bCs/>
          <w:sz w:val="26"/>
          <w:szCs w:val="26"/>
          <w:rtl/>
        </w:rPr>
        <w:t>החלטת ועדת האתיקה</w:t>
      </w:r>
    </w:p>
    <w:p w:rsidR="001E253C" w:rsidRDefault="001E253C" w:rsidP="00520D1E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bookmarkStart w:id="0" w:name="_GoBack"/>
      <w:r>
        <w:rPr>
          <w:rFonts w:cs="David"/>
          <w:b/>
          <w:bCs/>
          <w:sz w:val="26"/>
          <w:szCs w:val="26"/>
          <w:u w:val="single"/>
          <w:rtl/>
        </w:rPr>
        <w:t>בקובלנ</w:t>
      </w:r>
      <w:r w:rsidR="00520D1E">
        <w:rPr>
          <w:rFonts w:cs="David" w:hint="cs"/>
          <w:b/>
          <w:bCs/>
          <w:sz w:val="26"/>
          <w:szCs w:val="26"/>
          <w:u w:val="single"/>
          <w:rtl/>
        </w:rPr>
        <w:t>ה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כנגד חבר הכנסת איימן עודה</w:t>
      </w:r>
      <w:bookmarkEnd w:id="0"/>
    </w:p>
    <w:p w:rsidR="001E253C" w:rsidRDefault="003429D7" w:rsidP="001E253C">
      <w:pPr>
        <w:tabs>
          <w:tab w:val="left" w:pos="340"/>
        </w:tabs>
        <w:spacing w:before="120" w:after="0" w:line="240" w:lineRule="auto"/>
        <w:contextualSpacing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מיום ד' באדר א' </w:t>
      </w:r>
      <w:proofErr w:type="spellStart"/>
      <w:r>
        <w:rPr>
          <w:rFonts w:cs="David" w:hint="cs"/>
          <w:sz w:val="24"/>
          <w:szCs w:val="24"/>
          <w:rtl/>
        </w:rPr>
        <w:t>התשפ"ד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13 בפברואר 2024</w:t>
      </w:r>
    </w:p>
    <w:p w:rsidR="001E253C" w:rsidRDefault="001E253C" w:rsidP="001E253C">
      <w:p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הקובלנה</w:t>
      </w:r>
    </w:p>
    <w:p w:rsidR="001E253C" w:rsidRDefault="001E253C" w:rsidP="00563890">
      <w:pPr>
        <w:pStyle w:val="a3"/>
        <w:numPr>
          <w:ilvl w:val="0"/>
          <w:numId w:val="2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ביום 21.12.23 הגישה </w:t>
      </w:r>
      <w:r w:rsidRPr="001E253C">
        <w:rPr>
          <w:rFonts w:cs="David" w:hint="cs"/>
          <w:sz w:val="24"/>
          <w:szCs w:val="24"/>
          <w:rtl/>
        </w:rPr>
        <w:t xml:space="preserve">חברת הכנסת גוטליב </w:t>
      </w:r>
      <w:r>
        <w:rPr>
          <w:rFonts w:cs="David" w:hint="cs"/>
          <w:sz w:val="24"/>
          <w:szCs w:val="24"/>
          <w:rtl/>
        </w:rPr>
        <w:t>קובלנה כנגד חברי הכנסת מסיעת חד"ש</w:t>
      </w:r>
      <w:r>
        <w:rPr>
          <w:rFonts w:cs="David" w:hint="eastAsia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>תע"ל. במסגרתה, התייחסה חברת הכנסת ל</w:t>
      </w:r>
      <w:r w:rsidRPr="001E253C">
        <w:rPr>
          <w:rFonts w:cs="David" w:hint="eastAsia"/>
          <w:sz w:val="24"/>
          <w:szCs w:val="24"/>
          <w:rtl/>
        </w:rPr>
        <w:t>חילופי</w:t>
      </w:r>
      <w:r w:rsidRPr="001E253C">
        <w:rPr>
          <w:rFonts w:cs="David"/>
          <w:sz w:val="24"/>
          <w:szCs w:val="24"/>
          <w:rtl/>
        </w:rPr>
        <w:t xml:space="preserve"> </w:t>
      </w:r>
      <w:r w:rsidRPr="001E253C">
        <w:rPr>
          <w:rFonts w:cs="David" w:hint="eastAsia"/>
          <w:sz w:val="24"/>
          <w:szCs w:val="24"/>
          <w:rtl/>
        </w:rPr>
        <w:t>הדברים</w:t>
      </w:r>
      <w:r w:rsidRPr="001E253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בינה ובין חבר הכנסת איימן עודה </w:t>
      </w:r>
      <w:r w:rsidRPr="001E253C">
        <w:rPr>
          <w:rFonts w:cs="David" w:hint="eastAsia"/>
          <w:sz w:val="24"/>
          <w:szCs w:val="24"/>
          <w:rtl/>
        </w:rPr>
        <w:t>בישיבת</w:t>
      </w:r>
      <w:r w:rsidRPr="001E253C">
        <w:rPr>
          <w:rFonts w:cs="David"/>
          <w:sz w:val="24"/>
          <w:szCs w:val="24"/>
          <w:rtl/>
        </w:rPr>
        <w:t xml:space="preserve"> </w:t>
      </w:r>
      <w:r w:rsidRPr="001E253C">
        <w:rPr>
          <w:rFonts w:cs="David" w:hint="eastAsia"/>
          <w:sz w:val="24"/>
          <w:szCs w:val="24"/>
          <w:rtl/>
        </w:rPr>
        <w:t>המליאה</w:t>
      </w:r>
      <w:r w:rsidRPr="001E253C">
        <w:rPr>
          <w:rFonts w:cs="David"/>
          <w:sz w:val="24"/>
          <w:szCs w:val="24"/>
          <w:rtl/>
        </w:rPr>
        <w:t xml:space="preserve"> </w:t>
      </w:r>
      <w:r w:rsidRPr="001E253C">
        <w:rPr>
          <w:rFonts w:cs="David" w:hint="eastAsia"/>
          <w:sz w:val="24"/>
          <w:szCs w:val="24"/>
          <w:rtl/>
        </w:rPr>
        <w:t>מיום</w:t>
      </w:r>
      <w:r w:rsidRPr="001E253C">
        <w:rPr>
          <w:rFonts w:cs="David"/>
          <w:sz w:val="24"/>
          <w:szCs w:val="24"/>
          <w:rtl/>
        </w:rPr>
        <w:t xml:space="preserve"> 16.10</w:t>
      </w:r>
      <w:r w:rsidRPr="001E253C">
        <w:rPr>
          <w:rFonts w:cs="David" w:hint="cs"/>
          <w:sz w:val="24"/>
          <w:szCs w:val="24"/>
          <w:rtl/>
        </w:rPr>
        <w:t xml:space="preserve">, ולכך שחבר הכנסת עודה שנאם על הדוכן כינה אותה "מג'נונית </w:t>
      </w:r>
      <w:proofErr w:type="spellStart"/>
      <w:r w:rsidRPr="001E253C">
        <w:rPr>
          <w:rFonts w:cs="David" w:hint="cs"/>
          <w:sz w:val="24"/>
          <w:szCs w:val="24"/>
          <w:rtl/>
        </w:rPr>
        <w:t>מדרובית</w:t>
      </w:r>
      <w:proofErr w:type="spellEnd"/>
      <w:r w:rsidRPr="001E253C">
        <w:rPr>
          <w:rFonts w:cs="David" w:hint="cs"/>
          <w:sz w:val="24"/>
          <w:szCs w:val="24"/>
          <w:rtl/>
        </w:rPr>
        <w:t>" בעת שביצעה את תנועת היריקה וקראה לעברו "טפי עליך".</w:t>
      </w:r>
    </w:p>
    <w:p w:rsidR="001E253C" w:rsidRPr="001E253C" w:rsidRDefault="001E253C" w:rsidP="001E253C">
      <w:p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24"/>
          <w:szCs w:val="24"/>
        </w:rPr>
      </w:pPr>
      <w:r w:rsidRPr="001E253C">
        <w:rPr>
          <w:rFonts w:cs="David" w:hint="cs"/>
          <w:b/>
          <w:bCs/>
          <w:sz w:val="24"/>
          <w:szCs w:val="24"/>
          <w:rtl/>
        </w:rPr>
        <w:t>התגובה</w:t>
      </w:r>
    </w:p>
    <w:p w:rsidR="001E253C" w:rsidRPr="00493516" w:rsidRDefault="001E253C" w:rsidP="001E253C">
      <w:pPr>
        <w:pStyle w:val="a3"/>
        <w:numPr>
          <w:ilvl w:val="0"/>
          <w:numId w:val="2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 w:rsidRPr="00493516">
        <w:rPr>
          <w:rFonts w:cs="David" w:hint="eastAsia"/>
          <w:sz w:val="24"/>
          <w:szCs w:val="24"/>
          <w:rtl/>
        </w:rPr>
        <w:t>חבר</w:t>
      </w:r>
      <w:r w:rsidRPr="00493516">
        <w:rPr>
          <w:rFonts w:cs="David"/>
          <w:sz w:val="24"/>
          <w:szCs w:val="24"/>
          <w:rtl/>
        </w:rPr>
        <w:t xml:space="preserve"> </w:t>
      </w:r>
      <w:r w:rsidRPr="00493516">
        <w:rPr>
          <w:rFonts w:cs="David" w:hint="eastAsia"/>
          <w:sz w:val="24"/>
          <w:szCs w:val="24"/>
          <w:rtl/>
        </w:rPr>
        <w:t>הכנסת</w:t>
      </w:r>
      <w:r w:rsidRPr="00493516">
        <w:rPr>
          <w:rFonts w:cs="David"/>
          <w:sz w:val="24"/>
          <w:szCs w:val="24"/>
          <w:rtl/>
        </w:rPr>
        <w:t xml:space="preserve"> </w:t>
      </w:r>
      <w:r w:rsidRPr="00493516">
        <w:rPr>
          <w:rFonts w:cs="David" w:hint="eastAsia"/>
          <w:sz w:val="24"/>
          <w:szCs w:val="24"/>
          <w:rtl/>
        </w:rPr>
        <w:t>עודה</w:t>
      </w:r>
      <w:r w:rsidRPr="00493516">
        <w:rPr>
          <w:rFonts w:cs="David"/>
          <w:sz w:val="24"/>
          <w:szCs w:val="24"/>
          <w:rtl/>
        </w:rPr>
        <w:t xml:space="preserve"> </w:t>
      </w:r>
      <w:r w:rsidRPr="00493516">
        <w:rPr>
          <w:rFonts w:cs="David" w:hint="eastAsia"/>
          <w:sz w:val="24"/>
          <w:szCs w:val="24"/>
          <w:rtl/>
        </w:rPr>
        <w:t>הגיב</w:t>
      </w:r>
      <w:r w:rsidRPr="00493516">
        <w:rPr>
          <w:rFonts w:cs="David"/>
          <w:sz w:val="24"/>
          <w:szCs w:val="24"/>
          <w:rtl/>
        </w:rPr>
        <w:t xml:space="preserve"> </w:t>
      </w:r>
      <w:r w:rsidRPr="00493516">
        <w:rPr>
          <w:rFonts w:cs="David" w:hint="eastAsia"/>
          <w:sz w:val="24"/>
          <w:szCs w:val="24"/>
          <w:rtl/>
        </w:rPr>
        <w:t>לקובלנה</w:t>
      </w:r>
      <w:r w:rsidRPr="00493516">
        <w:rPr>
          <w:rFonts w:cs="David"/>
          <w:sz w:val="24"/>
          <w:szCs w:val="24"/>
          <w:rtl/>
        </w:rPr>
        <w:t xml:space="preserve"> </w:t>
      </w:r>
      <w:r w:rsidRPr="00493516">
        <w:rPr>
          <w:rFonts w:cs="David" w:hint="eastAsia"/>
          <w:sz w:val="24"/>
          <w:szCs w:val="24"/>
          <w:rtl/>
        </w:rPr>
        <w:t>בכתב</w:t>
      </w:r>
      <w:r w:rsidRPr="00493516">
        <w:rPr>
          <w:rFonts w:cs="David"/>
          <w:sz w:val="24"/>
          <w:szCs w:val="24"/>
          <w:rtl/>
        </w:rPr>
        <w:t xml:space="preserve"> כי מדובר בטענות סרק וכי חברת הכנסת גוטליב מטעה את ועדת האתיקה ביודעין. עוד כתב בתגובתו כי ח</w:t>
      </w:r>
      <w:r>
        <w:rPr>
          <w:rFonts w:cs="David" w:hint="cs"/>
          <w:sz w:val="24"/>
          <w:szCs w:val="24"/>
          <w:rtl/>
        </w:rPr>
        <w:t>ברת הכנסת ג</w:t>
      </w:r>
      <w:r w:rsidRPr="00493516">
        <w:rPr>
          <w:rFonts w:cs="David"/>
          <w:sz w:val="24"/>
          <w:szCs w:val="24"/>
          <w:rtl/>
        </w:rPr>
        <w:t>וטליב משתמשת בכלים הפרלמנטרים השונים, לרבות קובלנות ל</w:t>
      </w:r>
      <w:r>
        <w:rPr>
          <w:rFonts w:cs="David" w:hint="cs"/>
          <w:sz w:val="24"/>
          <w:szCs w:val="24"/>
          <w:rtl/>
        </w:rPr>
        <w:t>ו</w:t>
      </w:r>
      <w:r w:rsidRPr="00493516">
        <w:rPr>
          <w:rFonts w:cs="David"/>
          <w:sz w:val="24"/>
          <w:szCs w:val="24"/>
          <w:rtl/>
        </w:rPr>
        <w:t xml:space="preserve">ועדת האתיקה, לניגוח </w:t>
      </w:r>
      <w:r>
        <w:rPr>
          <w:rFonts w:cs="David" w:hint="cs"/>
          <w:sz w:val="24"/>
          <w:szCs w:val="24"/>
          <w:rtl/>
        </w:rPr>
        <w:t xml:space="preserve">של חברי הכנסת וכי היא באופן תדיר פוגעת בכבודם של חברי כנסת אחרים. </w:t>
      </w:r>
    </w:p>
    <w:p w:rsidR="001E253C" w:rsidRDefault="001E253C" w:rsidP="001E253C">
      <w:pPr>
        <w:tabs>
          <w:tab w:val="left" w:pos="340"/>
        </w:tabs>
        <w:spacing w:after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t>דיון הוועדה</w:t>
      </w:r>
    </w:p>
    <w:p w:rsidR="001E253C" w:rsidRDefault="001E253C" w:rsidP="001E253C">
      <w:pPr>
        <w:pStyle w:val="a3"/>
        <w:numPr>
          <w:ilvl w:val="0"/>
          <w:numId w:val="2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A2601E">
        <w:rPr>
          <w:rFonts w:cs="David" w:hint="eastAsia"/>
          <w:sz w:val="24"/>
          <w:szCs w:val="24"/>
          <w:rtl/>
        </w:rPr>
        <w:t>הוועדה</w:t>
      </w:r>
      <w:r w:rsidRPr="00A2601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בהחלטותיה</w:t>
      </w:r>
      <w:r w:rsidRPr="00A2601E">
        <w:rPr>
          <w:rFonts w:cs="David"/>
          <w:sz w:val="24"/>
          <w:szCs w:val="24"/>
          <w:rtl/>
        </w:rPr>
        <w:t xml:space="preserve">, הקפידה להבחין בין אמירות פוליטיות ואידיאולוגיות, לגביהן אין חולק כי הן חוסות תחת חופש הביטוי הפוליטי, לבין </w:t>
      </w:r>
      <w:r w:rsidRPr="00A2601E">
        <w:rPr>
          <w:rFonts w:cs="David" w:hint="eastAsia"/>
          <w:sz w:val="24"/>
          <w:szCs w:val="24"/>
          <w:rtl/>
        </w:rPr>
        <w:t>אמירות</w:t>
      </w:r>
      <w:r w:rsidRPr="00A2601E">
        <w:rPr>
          <w:rFonts w:cs="David"/>
          <w:sz w:val="24"/>
          <w:szCs w:val="24"/>
          <w:rtl/>
        </w:rPr>
        <w:t xml:space="preserve"> שהן </w:t>
      </w:r>
      <w:r w:rsidRPr="00A2601E">
        <w:rPr>
          <w:rFonts w:cs="David" w:hint="eastAsia"/>
          <w:sz w:val="24"/>
          <w:szCs w:val="24"/>
          <w:rtl/>
        </w:rPr>
        <w:t>הכפשה</w:t>
      </w:r>
      <w:r w:rsidRPr="00A2601E">
        <w:rPr>
          <w:rFonts w:cs="David"/>
          <w:sz w:val="24"/>
          <w:szCs w:val="24"/>
          <w:rtl/>
        </w:rPr>
        <w:t xml:space="preserve"> אישית של חברי כנסת. לגבי האחרונות, קבעה הוועדה כי הן אינן חוסות </w:t>
      </w:r>
      <w:r w:rsidRPr="00A2601E">
        <w:rPr>
          <w:rFonts w:cs="David" w:hint="eastAsia"/>
          <w:sz w:val="24"/>
          <w:szCs w:val="24"/>
          <w:rtl/>
        </w:rPr>
        <w:t>תחת</w:t>
      </w:r>
      <w:r w:rsidRPr="00A2601E">
        <w:rPr>
          <w:rFonts w:cs="David"/>
          <w:sz w:val="24"/>
          <w:szCs w:val="24"/>
          <w:rtl/>
        </w:rPr>
        <w:t xml:space="preserve"> חופש הביטוי הפוליטי (2/23). </w:t>
      </w:r>
    </w:p>
    <w:p w:rsidR="000223FC" w:rsidRDefault="001E253C" w:rsidP="000223FC">
      <w:pPr>
        <w:pStyle w:val="a3"/>
        <w:numPr>
          <w:ilvl w:val="0"/>
          <w:numId w:val="2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0223FC">
        <w:rPr>
          <w:rFonts w:cs="David" w:hint="cs"/>
          <w:sz w:val="24"/>
          <w:szCs w:val="24"/>
          <w:rtl/>
        </w:rPr>
        <w:t xml:space="preserve">חברי הוועדה </w:t>
      </w:r>
      <w:r w:rsidR="000223FC" w:rsidRPr="000223FC">
        <w:rPr>
          <w:rFonts w:cs="David" w:hint="cs"/>
          <w:sz w:val="24"/>
          <w:szCs w:val="24"/>
          <w:rtl/>
        </w:rPr>
        <w:t>רשמו לפניהם</w:t>
      </w:r>
      <w:r w:rsidRPr="000223FC">
        <w:rPr>
          <w:rFonts w:cs="David" w:hint="cs"/>
          <w:sz w:val="24"/>
          <w:szCs w:val="24"/>
          <w:rtl/>
        </w:rPr>
        <w:t xml:space="preserve"> את עמדתה של חברת הכנסת גוטליב כי בעת שחברת הכנ</w:t>
      </w:r>
      <w:r w:rsidR="000223FC" w:rsidRPr="000223FC">
        <w:rPr>
          <w:rFonts w:cs="David" w:hint="cs"/>
          <w:sz w:val="24"/>
          <w:szCs w:val="24"/>
          <w:rtl/>
        </w:rPr>
        <w:t>סת גוטליב ביצעה את תנועת היריקה וקיללה אותו באמירה "טפי עליך",</w:t>
      </w:r>
      <w:r w:rsidRPr="000223FC">
        <w:rPr>
          <w:rFonts w:cs="David" w:hint="cs"/>
          <w:sz w:val="24"/>
          <w:szCs w:val="24"/>
          <w:rtl/>
        </w:rPr>
        <w:t xml:space="preserve"> חבר הכנסת עודה קילל אותה</w:t>
      </w:r>
      <w:r w:rsidR="000223FC" w:rsidRPr="000223FC">
        <w:rPr>
          <w:rFonts w:cs="David" w:hint="cs"/>
          <w:sz w:val="24"/>
          <w:szCs w:val="24"/>
          <w:rtl/>
        </w:rPr>
        <w:t xml:space="preserve"> חזרה</w:t>
      </w:r>
      <w:r w:rsidRPr="000223FC">
        <w:rPr>
          <w:rFonts w:cs="David" w:hint="cs"/>
          <w:sz w:val="24"/>
          <w:szCs w:val="24"/>
          <w:rtl/>
        </w:rPr>
        <w:t xml:space="preserve"> מעל הד</w:t>
      </w:r>
      <w:r w:rsidR="000223FC" w:rsidRPr="000223FC">
        <w:rPr>
          <w:rFonts w:cs="David" w:hint="cs"/>
          <w:sz w:val="24"/>
          <w:szCs w:val="24"/>
          <w:rtl/>
        </w:rPr>
        <w:t>וכן במלים "</w:t>
      </w:r>
      <w:proofErr w:type="spellStart"/>
      <w:r w:rsidR="000223FC" w:rsidRPr="000223FC">
        <w:rPr>
          <w:rFonts w:cs="David" w:hint="cs"/>
          <w:sz w:val="24"/>
          <w:szCs w:val="24"/>
          <w:rtl/>
        </w:rPr>
        <w:t>מדרובה</w:t>
      </w:r>
      <w:proofErr w:type="spellEnd"/>
      <w:r w:rsidR="000223FC" w:rsidRPr="000223FC">
        <w:rPr>
          <w:rFonts w:cs="David" w:hint="cs"/>
          <w:sz w:val="24"/>
          <w:szCs w:val="24"/>
          <w:rtl/>
        </w:rPr>
        <w:t xml:space="preserve">" </w:t>
      </w:r>
      <w:proofErr w:type="spellStart"/>
      <w:r w:rsidR="000223FC" w:rsidRPr="000223FC">
        <w:rPr>
          <w:rFonts w:cs="David" w:hint="cs"/>
          <w:sz w:val="24"/>
          <w:szCs w:val="24"/>
          <w:rtl/>
        </w:rPr>
        <w:t>ו"מג'נונה</w:t>
      </w:r>
      <w:proofErr w:type="spellEnd"/>
      <w:r w:rsidR="000223FC" w:rsidRPr="000223FC">
        <w:rPr>
          <w:rFonts w:cs="David" w:hint="cs"/>
          <w:sz w:val="24"/>
          <w:szCs w:val="24"/>
          <w:rtl/>
        </w:rPr>
        <w:t xml:space="preserve">". עם זאת, חברי הוועדה התרשמו כי התבטאות זו נאמרה בלהט הרגע </w:t>
      </w:r>
      <w:r w:rsidR="000223FC">
        <w:rPr>
          <w:rFonts w:cs="David" w:hint="cs"/>
          <w:sz w:val="24"/>
          <w:szCs w:val="24"/>
          <w:rtl/>
        </w:rPr>
        <w:t>כלפי חברת הכנסת לאור התנהגותה.</w:t>
      </w:r>
    </w:p>
    <w:p w:rsidR="001E253C" w:rsidRPr="000223FC" w:rsidRDefault="008421A5" w:rsidP="000223FC">
      <w:pPr>
        <w:pStyle w:val="a3"/>
        <w:numPr>
          <w:ilvl w:val="0"/>
          <w:numId w:val="2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ועדת האתיקה</w:t>
      </w:r>
      <w:r w:rsidR="001E253C" w:rsidRPr="000223FC">
        <w:rPr>
          <w:rFonts w:cs="David"/>
          <w:sz w:val="24"/>
          <w:szCs w:val="24"/>
          <w:rtl/>
        </w:rPr>
        <w:t xml:space="preserve"> רואה חשיבות בשמירה על חופש הביטוי של חברי הכנסת ו</w:t>
      </w:r>
      <w:r w:rsidR="001E253C" w:rsidRPr="000223FC">
        <w:rPr>
          <w:rFonts w:cs="David" w:hint="cs"/>
          <w:sz w:val="24"/>
          <w:szCs w:val="24"/>
          <w:rtl/>
        </w:rPr>
        <w:t xml:space="preserve">כן </w:t>
      </w:r>
      <w:r w:rsidR="001E253C" w:rsidRPr="000223FC">
        <w:rPr>
          <w:rFonts w:cs="David"/>
          <w:sz w:val="24"/>
          <w:szCs w:val="24"/>
          <w:rtl/>
        </w:rPr>
        <w:t>בשמירה על מליאת הכנסת כמרחב בו יו</w:t>
      </w:r>
      <w:r w:rsidR="001E253C" w:rsidRPr="000223FC">
        <w:rPr>
          <w:rFonts w:cs="David" w:hint="eastAsia"/>
          <w:sz w:val="24"/>
          <w:szCs w:val="24"/>
          <w:rtl/>
        </w:rPr>
        <w:t>כלו</w:t>
      </w:r>
      <w:r w:rsidR="001E253C" w:rsidRPr="000223FC">
        <w:rPr>
          <w:rFonts w:cs="David"/>
          <w:sz w:val="24"/>
          <w:szCs w:val="24"/>
          <w:rtl/>
        </w:rPr>
        <w:t xml:space="preserve"> </w:t>
      </w:r>
      <w:r w:rsidR="001E253C" w:rsidRPr="000223FC">
        <w:rPr>
          <w:rFonts w:cs="David" w:hint="eastAsia"/>
          <w:sz w:val="24"/>
          <w:szCs w:val="24"/>
          <w:rtl/>
        </w:rPr>
        <w:t>חברי</w:t>
      </w:r>
      <w:r w:rsidR="001E253C" w:rsidRPr="000223FC">
        <w:rPr>
          <w:rFonts w:cs="David"/>
          <w:sz w:val="24"/>
          <w:szCs w:val="24"/>
          <w:rtl/>
        </w:rPr>
        <w:t xml:space="preserve"> </w:t>
      </w:r>
      <w:r w:rsidR="001E253C" w:rsidRPr="000223FC">
        <w:rPr>
          <w:rFonts w:cs="David" w:hint="eastAsia"/>
          <w:sz w:val="24"/>
          <w:szCs w:val="24"/>
          <w:rtl/>
        </w:rPr>
        <w:t>הכנסת</w:t>
      </w:r>
      <w:r w:rsidR="001E253C" w:rsidRPr="000223FC">
        <w:rPr>
          <w:rFonts w:cs="David"/>
          <w:sz w:val="24"/>
          <w:szCs w:val="24"/>
          <w:rtl/>
        </w:rPr>
        <w:t xml:space="preserve"> </w:t>
      </w:r>
      <w:r w:rsidR="001E253C" w:rsidRPr="000223FC">
        <w:rPr>
          <w:rFonts w:cs="David" w:hint="eastAsia"/>
          <w:sz w:val="24"/>
          <w:szCs w:val="24"/>
          <w:rtl/>
        </w:rPr>
        <w:t>להתבטא</w:t>
      </w:r>
      <w:r w:rsidR="001E253C" w:rsidRPr="000223FC">
        <w:rPr>
          <w:rFonts w:cs="David"/>
          <w:sz w:val="24"/>
          <w:szCs w:val="24"/>
          <w:rtl/>
        </w:rPr>
        <w:t xml:space="preserve"> </w:t>
      </w:r>
      <w:r w:rsidR="001E253C" w:rsidRPr="000223FC">
        <w:rPr>
          <w:rFonts w:cs="David" w:hint="eastAsia"/>
          <w:sz w:val="24"/>
          <w:szCs w:val="24"/>
          <w:rtl/>
        </w:rPr>
        <w:t>ללא</w:t>
      </w:r>
      <w:r w:rsidR="001E253C" w:rsidRPr="000223FC">
        <w:rPr>
          <w:rFonts w:cs="David"/>
          <w:sz w:val="24"/>
          <w:szCs w:val="24"/>
          <w:rtl/>
        </w:rPr>
        <w:t xml:space="preserve"> </w:t>
      </w:r>
      <w:r w:rsidR="001E253C" w:rsidRPr="000223FC">
        <w:rPr>
          <w:rFonts w:cs="David" w:hint="eastAsia"/>
          <w:sz w:val="24"/>
          <w:szCs w:val="24"/>
          <w:rtl/>
        </w:rPr>
        <w:t>מורא</w:t>
      </w:r>
      <w:r w:rsidR="001E253C" w:rsidRPr="000223FC">
        <w:rPr>
          <w:rFonts w:cs="David"/>
          <w:sz w:val="24"/>
          <w:szCs w:val="24"/>
          <w:rtl/>
        </w:rPr>
        <w:t>.</w:t>
      </w:r>
      <w:r w:rsidR="001E253C" w:rsidRPr="000223FC">
        <w:rPr>
          <w:rFonts w:cs="David" w:hint="cs"/>
          <w:sz w:val="24"/>
          <w:szCs w:val="24"/>
          <w:rtl/>
        </w:rPr>
        <w:t xml:space="preserve"> הוועדה חוזרת על הצורך החשוב שעל חברי הכנסת להימנע משיח מתלהם ומהתבטאויות מכפישות גם אם הן הדדיות בשיח בין חברי הכנסת, ודאי בזמן מלחמה.</w:t>
      </w:r>
    </w:p>
    <w:p w:rsidR="001E253C" w:rsidRPr="00627261" w:rsidRDefault="001E253C" w:rsidP="001E253C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החלטת הוועדה</w:t>
      </w:r>
    </w:p>
    <w:p w:rsidR="001E253C" w:rsidRPr="00E23B49" w:rsidRDefault="001E253C" w:rsidP="000223FC">
      <w:pPr>
        <w:pStyle w:val="a3"/>
        <w:numPr>
          <w:ilvl w:val="0"/>
          <w:numId w:val="2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E23B49">
        <w:rPr>
          <w:rFonts w:cs="David" w:hint="eastAsia"/>
          <w:sz w:val="24"/>
          <w:szCs w:val="24"/>
          <w:rtl/>
        </w:rPr>
        <w:t>הוועדה</w:t>
      </w:r>
      <w:r w:rsidRPr="00E23B49">
        <w:rPr>
          <w:rFonts w:cs="David"/>
          <w:sz w:val="24"/>
          <w:szCs w:val="24"/>
          <w:rtl/>
        </w:rPr>
        <w:t xml:space="preserve"> קובעת כי בהתבטאו</w:t>
      </w:r>
      <w:r>
        <w:rPr>
          <w:rFonts w:cs="David" w:hint="cs"/>
          <w:sz w:val="24"/>
          <w:szCs w:val="24"/>
          <w:rtl/>
        </w:rPr>
        <w:t xml:space="preserve">תו </w:t>
      </w:r>
      <w:r w:rsidRPr="00E23B49">
        <w:rPr>
          <w:rFonts w:cs="David"/>
          <w:sz w:val="24"/>
          <w:szCs w:val="24"/>
          <w:rtl/>
        </w:rPr>
        <w:t xml:space="preserve">מיום ה-16.10.23 </w:t>
      </w:r>
      <w:r w:rsidR="000223FC">
        <w:rPr>
          <w:rFonts w:cs="David" w:hint="cs"/>
          <w:sz w:val="24"/>
          <w:szCs w:val="24"/>
          <w:rtl/>
        </w:rPr>
        <w:t>חבר הכנסת עודה</w:t>
      </w:r>
      <w:r w:rsidRPr="00E23B49">
        <w:rPr>
          <w:rFonts w:cs="David"/>
          <w:sz w:val="24"/>
          <w:szCs w:val="24"/>
          <w:rtl/>
        </w:rPr>
        <w:t xml:space="preserve"> הפר </w:t>
      </w:r>
      <w:r w:rsidRPr="00E23B49">
        <w:rPr>
          <w:rFonts w:cs="David" w:hint="eastAsia"/>
          <w:sz w:val="24"/>
          <w:szCs w:val="24"/>
          <w:rtl/>
        </w:rPr>
        <w:t>את</w:t>
      </w:r>
      <w:r w:rsidRPr="00E23B49">
        <w:rPr>
          <w:rFonts w:cs="David"/>
          <w:sz w:val="24"/>
          <w:szCs w:val="24"/>
          <w:rtl/>
        </w:rPr>
        <w:t xml:space="preserve"> כלל 1א(4) לכללי האתיקה הקובע כי:</w:t>
      </w:r>
    </w:p>
    <w:p w:rsidR="001E253C" w:rsidRDefault="001E253C" w:rsidP="001E253C">
      <w:pPr>
        <w:pStyle w:val="a3"/>
        <w:tabs>
          <w:tab w:val="left" w:pos="340"/>
        </w:tabs>
        <w:spacing w:before="240" w:after="240" w:line="360" w:lineRule="auto"/>
        <w:ind w:left="1361" w:right="851"/>
        <w:jc w:val="both"/>
        <w:rPr>
          <w:rFonts w:cs="David"/>
          <w:b/>
          <w:bCs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"חבר הכנסת ישמור על כבוד הכנסת וכבוד חבריה, יהיה מסור למילוי תפקידיו בכנסת, ינהג בדרך ההולמת את מעמדו כחבר הכנסת ויעשה לטיפוח אמון הציבור בכנסת."</w:t>
      </w:r>
    </w:p>
    <w:p w:rsidR="001E253C" w:rsidRDefault="001E253C" w:rsidP="000223FC">
      <w:pPr>
        <w:pStyle w:val="a3"/>
        <w:numPr>
          <w:ilvl w:val="0"/>
          <w:numId w:val="2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E23B49">
        <w:rPr>
          <w:rFonts w:cs="David"/>
          <w:sz w:val="24"/>
          <w:szCs w:val="24"/>
          <w:rtl/>
        </w:rPr>
        <w:t>בנסיבות אלו, ובהתאם לסמכותה לפי סעי</w:t>
      </w:r>
      <w:r w:rsidRPr="00E23B49">
        <w:rPr>
          <w:rFonts w:cs="David" w:hint="eastAsia"/>
          <w:sz w:val="24"/>
          <w:szCs w:val="24"/>
          <w:rtl/>
        </w:rPr>
        <w:t>ף</w:t>
      </w:r>
      <w:r w:rsidR="000223FC">
        <w:rPr>
          <w:rFonts w:cs="David"/>
          <w:sz w:val="24"/>
          <w:szCs w:val="24"/>
          <w:rtl/>
        </w:rPr>
        <w:t xml:space="preserve"> 13ד(ד)</w:t>
      </w:r>
      <w:r w:rsidR="000223FC">
        <w:rPr>
          <w:rFonts w:cs="David" w:hint="cs"/>
          <w:sz w:val="24"/>
          <w:szCs w:val="24"/>
          <w:rtl/>
        </w:rPr>
        <w:t>(2</w:t>
      </w:r>
      <w:r w:rsidRPr="00E23B49">
        <w:rPr>
          <w:rFonts w:cs="David"/>
          <w:sz w:val="24"/>
          <w:szCs w:val="24"/>
          <w:rtl/>
        </w:rPr>
        <w:t xml:space="preserve">) </w:t>
      </w:r>
      <w:r w:rsidR="000223FC">
        <w:rPr>
          <w:rFonts w:cs="David" w:hint="cs"/>
          <w:sz w:val="24"/>
          <w:szCs w:val="24"/>
          <w:rtl/>
        </w:rPr>
        <w:t>ל</w:t>
      </w:r>
      <w:r w:rsidRPr="00E23B49">
        <w:rPr>
          <w:rFonts w:cs="David"/>
          <w:sz w:val="24"/>
          <w:szCs w:val="24"/>
          <w:rtl/>
        </w:rPr>
        <w:t xml:space="preserve">חוק חסינות חברי הכנסת, </w:t>
      </w:r>
      <w:r w:rsidRPr="000223FC">
        <w:rPr>
          <w:rFonts w:cs="David"/>
          <w:sz w:val="24"/>
          <w:szCs w:val="24"/>
          <w:rtl/>
        </w:rPr>
        <w:t xml:space="preserve">זכויותיהם וחובותיהם, התשי"א-1951, החליטה הוועדה פה אחד להטיל על חבר הכנסת </w:t>
      </w:r>
      <w:r w:rsidRPr="000223FC">
        <w:rPr>
          <w:rFonts w:cs="David" w:hint="cs"/>
          <w:sz w:val="24"/>
          <w:szCs w:val="24"/>
          <w:rtl/>
        </w:rPr>
        <w:t>עודה</w:t>
      </w:r>
      <w:r w:rsidRPr="000223FC">
        <w:rPr>
          <w:rFonts w:cs="David"/>
          <w:sz w:val="24"/>
          <w:szCs w:val="24"/>
          <w:rtl/>
        </w:rPr>
        <w:t xml:space="preserve"> סנקציה של</w:t>
      </w:r>
      <w:r w:rsidRPr="000223FC">
        <w:rPr>
          <w:rFonts w:cs="David"/>
          <w:b/>
          <w:bCs/>
          <w:sz w:val="24"/>
          <w:szCs w:val="24"/>
          <w:rtl/>
        </w:rPr>
        <w:t xml:space="preserve"> </w:t>
      </w:r>
      <w:r w:rsidR="000223FC" w:rsidRPr="000223FC">
        <w:rPr>
          <w:rFonts w:cs="David" w:hint="cs"/>
          <w:b/>
          <w:bCs/>
          <w:sz w:val="24"/>
          <w:szCs w:val="24"/>
          <w:rtl/>
        </w:rPr>
        <w:t>אזהרה</w:t>
      </w:r>
      <w:r w:rsidRPr="000223FC">
        <w:rPr>
          <w:rFonts w:cs="David"/>
          <w:b/>
          <w:bCs/>
          <w:sz w:val="24"/>
          <w:szCs w:val="24"/>
          <w:rtl/>
        </w:rPr>
        <w:t>.</w:t>
      </w:r>
    </w:p>
    <w:p w:rsidR="001E253C" w:rsidRDefault="001E253C" w:rsidP="001E253C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>ההחלטה תונח על שולחן הכנסת.</w:t>
      </w:r>
    </w:p>
    <w:p w:rsidR="001E253C" w:rsidRDefault="001E253C" w:rsidP="001E253C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>__________________</w:t>
      </w:r>
    </w:p>
    <w:p w:rsidR="001E253C" w:rsidRDefault="001E253C" w:rsidP="001E253C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 xml:space="preserve">  חבר הכנסת ינון אזולאי</w:t>
      </w:r>
    </w:p>
    <w:p w:rsidR="001E253C" w:rsidRDefault="001E253C" w:rsidP="001E253C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 xml:space="preserve"> יושב ראש ועדת האתיקה</w:t>
      </w:r>
    </w:p>
    <w:p w:rsidR="001E253C" w:rsidRDefault="001E253C" w:rsidP="001E253C">
      <w:pPr>
        <w:rPr>
          <w:rtl/>
        </w:rPr>
      </w:pPr>
    </w:p>
    <w:p w:rsidR="001E253C" w:rsidRPr="00E9799B" w:rsidRDefault="001E253C" w:rsidP="001E253C">
      <w:pPr>
        <w:spacing w:after="0" w:line="360" w:lineRule="auto"/>
        <w:rPr>
          <w:rFonts w:ascii="David" w:hAnsi="David" w:cs="David"/>
          <w:sz w:val="24"/>
          <w:szCs w:val="24"/>
          <w:u w:val="single"/>
        </w:rPr>
      </w:pPr>
    </w:p>
    <w:p w:rsidR="001E253C" w:rsidRPr="00623CB8" w:rsidRDefault="001E253C" w:rsidP="001E253C"/>
    <w:p w:rsidR="00422DA6" w:rsidRPr="001E253C" w:rsidRDefault="00015819"/>
    <w:sectPr w:rsidR="00422DA6" w:rsidRPr="001E253C" w:rsidSect="00342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800" w:bottom="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19" w:rsidRDefault="00015819">
      <w:pPr>
        <w:spacing w:after="0" w:line="240" w:lineRule="auto"/>
      </w:pPr>
      <w:r>
        <w:separator/>
      </w:r>
    </w:p>
  </w:endnote>
  <w:endnote w:type="continuationSeparator" w:id="0">
    <w:p w:rsidR="00015819" w:rsidRDefault="0001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19" w:rsidRDefault="00015819">
      <w:pPr>
        <w:spacing w:after="0" w:line="240" w:lineRule="auto"/>
      </w:pPr>
      <w:r>
        <w:separator/>
      </w:r>
    </w:p>
  </w:footnote>
  <w:footnote w:type="continuationSeparator" w:id="0">
    <w:p w:rsidR="00015819" w:rsidRDefault="00015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0158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D5545"/>
    <w:multiLevelType w:val="hybridMultilevel"/>
    <w:tmpl w:val="B5DE7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22F63"/>
    <w:multiLevelType w:val="hybridMultilevel"/>
    <w:tmpl w:val="865E58EC"/>
    <w:lvl w:ilvl="0" w:tplc="E3DAA6AA">
      <w:start w:val="1"/>
      <w:numFmt w:val="hebrew1"/>
      <w:lvlText w:val="%1."/>
      <w:lvlJc w:val="left"/>
      <w:pPr>
        <w:ind w:left="1069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3C"/>
    <w:rsid w:val="00015819"/>
    <w:rsid w:val="000223FC"/>
    <w:rsid w:val="001E253C"/>
    <w:rsid w:val="003429D7"/>
    <w:rsid w:val="00486B22"/>
    <w:rsid w:val="00520D1E"/>
    <w:rsid w:val="00563890"/>
    <w:rsid w:val="005B0C38"/>
    <w:rsid w:val="006A473B"/>
    <w:rsid w:val="007640F4"/>
    <w:rsid w:val="008421A5"/>
    <w:rsid w:val="00937846"/>
    <w:rsid w:val="00A15367"/>
    <w:rsid w:val="00AF026A"/>
    <w:rsid w:val="00C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0C24EE-26D9-4C8E-9A5A-94F800C0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3C"/>
    <w:pPr>
      <w:bidi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3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2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1E253C"/>
  </w:style>
  <w:style w:type="paragraph" w:styleId="a6">
    <w:name w:val="footer"/>
    <w:basedOn w:val="a"/>
    <w:link w:val="a7"/>
    <w:uiPriority w:val="99"/>
    <w:unhideWhenUsed/>
    <w:rsid w:val="001E2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1E253C"/>
  </w:style>
  <w:style w:type="paragraph" w:styleId="a8">
    <w:name w:val="Balloon Text"/>
    <w:basedOn w:val="a"/>
    <w:link w:val="a9"/>
    <w:uiPriority w:val="99"/>
    <w:semiHidden/>
    <w:unhideWhenUsed/>
    <w:rsid w:val="003429D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3429D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FC6A8-E44C-4CCA-BC19-2213C58CFC1A}"/>
</file>

<file path=customXml/itemProps2.xml><?xml version="1.0" encoding="utf-8"?>
<ds:datastoreItem xmlns:ds="http://schemas.openxmlformats.org/officeDocument/2006/customXml" ds:itemID="{658FF6F7-9833-4EA9-8A41-A394035B6CB0}"/>
</file>

<file path=customXml/itemProps3.xml><?xml version="1.0" encoding="utf-8"?>
<ds:datastoreItem xmlns:ds="http://schemas.openxmlformats.org/officeDocument/2006/customXml" ds:itemID="{EAF24502-919E-4328-9D9A-9F1E968DA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שירז סולטן</dc:creator>
  <cp:keywords/>
  <dc:description/>
  <cp:lastModifiedBy>דנה הרש</cp:lastModifiedBy>
  <cp:revision>2</cp:revision>
  <cp:lastPrinted>2024-02-13T09:16:00Z</cp:lastPrinted>
  <dcterms:created xsi:type="dcterms:W3CDTF">2024-02-13T14:13:00Z</dcterms:created>
  <dcterms:modified xsi:type="dcterms:W3CDTF">2024-02-13T14:13:00Z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2214485</vt:r8>
  </property>
</Properties>
</file>