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855" w:rsidRDefault="00815166" w:rsidP="00815166">
      <w:pPr>
        <w:spacing w:line="360" w:lineRule="auto"/>
        <w:jc w:val="right"/>
        <w:rPr>
          <w:rFonts w:ascii="David" w:hAnsi="David" w:cs="David"/>
          <w:b/>
          <w:bCs/>
          <w:sz w:val="24"/>
          <w:szCs w:val="24"/>
          <w:u w:val="single"/>
          <w:rtl/>
        </w:rPr>
      </w:pP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>החלטה מס'</w:t>
      </w:r>
      <w:r w:rsidR="00673E28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22/25</w:t>
      </w:r>
    </w:p>
    <w:p w:rsidR="00815166" w:rsidRDefault="00EC5016" w:rsidP="00EC5016">
      <w:pPr>
        <w:tabs>
          <w:tab w:val="left" w:pos="2256"/>
        </w:tabs>
        <w:spacing w:line="36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ab/>
      </w:r>
    </w:p>
    <w:p w:rsidR="00815166" w:rsidRPr="008C2703" w:rsidRDefault="00815166" w:rsidP="00BA142B">
      <w:pPr>
        <w:spacing w:after="0" w:line="276" w:lineRule="auto"/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8C2703">
        <w:rPr>
          <w:rFonts w:ascii="David" w:hAnsi="David" w:cs="David" w:hint="cs"/>
          <w:b/>
          <w:bCs/>
          <w:sz w:val="24"/>
          <w:szCs w:val="24"/>
          <w:rtl/>
        </w:rPr>
        <w:t>החלטת ועדת האתיקה</w:t>
      </w:r>
    </w:p>
    <w:p w:rsidR="00815166" w:rsidRPr="008C2703" w:rsidRDefault="00815166" w:rsidP="00BA142B">
      <w:pPr>
        <w:spacing w:after="0" w:line="276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bookmarkStart w:id="0" w:name="_GoBack"/>
      <w:r w:rsidRPr="008C2703">
        <w:rPr>
          <w:rFonts w:ascii="David" w:hAnsi="David" w:cs="David" w:hint="cs"/>
          <w:b/>
          <w:bCs/>
          <w:sz w:val="24"/>
          <w:szCs w:val="24"/>
          <w:u w:val="single"/>
          <w:rtl/>
        </w:rPr>
        <w:t>בעניין</w:t>
      </w:r>
      <w:r w:rsidR="000D446C" w:rsidRPr="008C2703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ההליך האתי,</w:t>
      </w:r>
      <w:r w:rsidRPr="008C2703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</w:t>
      </w:r>
      <w:r w:rsidR="000D446C" w:rsidRPr="008C2703">
        <w:rPr>
          <w:rFonts w:ascii="David" w:hAnsi="David" w:cs="David" w:hint="cs"/>
          <w:b/>
          <w:bCs/>
          <w:sz w:val="24"/>
          <w:szCs w:val="24"/>
          <w:u w:val="single"/>
          <w:rtl/>
        </w:rPr>
        <w:t>דיוני ועדת האתיקה והחלטותיה</w:t>
      </w:r>
      <w:bookmarkEnd w:id="0"/>
    </w:p>
    <w:p w:rsidR="00673E28" w:rsidRPr="00673E28" w:rsidRDefault="00DD3C1C" w:rsidP="00BA142B">
      <w:pPr>
        <w:spacing w:after="0" w:line="240" w:lineRule="auto"/>
        <w:jc w:val="center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מיום י"ט</w:t>
      </w:r>
      <w:r w:rsidR="00673E28" w:rsidRPr="00673E28">
        <w:rPr>
          <w:rFonts w:ascii="David" w:hAnsi="David" w:cs="David" w:hint="cs"/>
          <w:sz w:val="24"/>
          <w:szCs w:val="24"/>
          <w:rtl/>
        </w:rPr>
        <w:t xml:space="preserve"> בשבט </w:t>
      </w:r>
      <w:proofErr w:type="spellStart"/>
      <w:r w:rsidR="00673E28" w:rsidRPr="00673E28">
        <w:rPr>
          <w:rFonts w:ascii="David" w:hAnsi="David" w:cs="David" w:hint="cs"/>
          <w:sz w:val="24"/>
          <w:szCs w:val="24"/>
          <w:rtl/>
        </w:rPr>
        <w:t>התשפ"ד</w:t>
      </w:r>
      <w:proofErr w:type="spellEnd"/>
      <w:r w:rsidR="00673E28">
        <w:rPr>
          <w:rFonts w:ascii="David" w:hAnsi="David" w:cs="David" w:hint="cs"/>
          <w:sz w:val="24"/>
          <w:szCs w:val="24"/>
          <w:rtl/>
        </w:rPr>
        <w:t xml:space="preserve"> -</w:t>
      </w:r>
      <w:r w:rsidR="00673E28" w:rsidRPr="00673E28">
        <w:rPr>
          <w:rFonts w:ascii="David" w:hAnsi="David" w:cs="David" w:hint="cs"/>
          <w:sz w:val="24"/>
          <w:szCs w:val="24"/>
          <w:rtl/>
        </w:rPr>
        <w:t xml:space="preserve"> 2</w:t>
      </w:r>
      <w:r>
        <w:rPr>
          <w:rFonts w:ascii="David" w:hAnsi="David" w:cs="David" w:hint="cs"/>
          <w:sz w:val="24"/>
          <w:szCs w:val="24"/>
          <w:rtl/>
        </w:rPr>
        <w:t>9</w:t>
      </w:r>
      <w:r w:rsidR="00673E28" w:rsidRPr="00673E28">
        <w:rPr>
          <w:rFonts w:ascii="David" w:hAnsi="David" w:cs="David" w:hint="cs"/>
          <w:sz w:val="24"/>
          <w:szCs w:val="24"/>
          <w:rtl/>
        </w:rPr>
        <w:t xml:space="preserve"> בינואר 2024</w:t>
      </w:r>
    </w:p>
    <w:p w:rsidR="00CF27C2" w:rsidRPr="005B13CE" w:rsidRDefault="00CF27C2" w:rsidP="005B13CE">
      <w:pPr>
        <w:spacing w:line="24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:rsidR="00011C10" w:rsidRDefault="00CB7386" w:rsidP="006327CB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ועדת האתיקה</w:t>
      </w:r>
      <w:r w:rsidR="00011C10">
        <w:rPr>
          <w:rFonts w:ascii="David" w:hAnsi="David" w:cs="David" w:hint="cs"/>
          <w:sz w:val="24"/>
          <w:szCs w:val="24"/>
          <w:rtl/>
        </w:rPr>
        <w:t xml:space="preserve"> </w:t>
      </w:r>
      <w:r w:rsidR="005644B2">
        <w:rPr>
          <w:rFonts w:ascii="David" w:hAnsi="David" w:cs="David" w:hint="cs"/>
          <w:sz w:val="24"/>
          <w:szCs w:val="24"/>
          <w:rtl/>
        </w:rPr>
        <w:t xml:space="preserve">בתיאום עם היועצת המשפטית לכנסת </w:t>
      </w:r>
      <w:r w:rsidR="00011C10">
        <w:rPr>
          <w:rFonts w:ascii="David" w:hAnsi="David" w:cs="David" w:hint="cs"/>
          <w:sz w:val="24"/>
          <w:szCs w:val="24"/>
          <w:rtl/>
        </w:rPr>
        <w:t xml:space="preserve">מוצאת לנכון לעמוד על מספר עקרונות בהליכי עבודתה; וזאת על מנת שהוועדה תוכל לשמור על דיונים ענייניים ולאפשר לחברי הוועדה להתבטא בחופשיות ולהכריע במנותק משיקולים חיצוניים. </w:t>
      </w:r>
    </w:p>
    <w:p w:rsidR="00EB03DD" w:rsidRPr="00EB03DD" w:rsidRDefault="00923FDB" w:rsidP="00EB03DD">
      <w:pPr>
        <w:pStyle w:val="a3"/>
        <w:numPr>
          <w:ilvl w:val="0"/>
          <w:numId w:val="2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EB03DD">
        <w:rPr>
          <w:rFonts w:ascii="David" w:hAnsi="David" w:cs="David" w:hint="eastAsia"/>
          <w:sz w:val="24"/>
          <w:szCs w:val="24"/>
          <w:rtl/>
        </w:rPr>
        <w:t>ההליכים</w:t>
      </w:r>
      <w:r w:rsidRPr="00EB03DD">
        <w:rPr>
          <w:rFonts w:ascii="David" w:hAnsi="David" w:cs="David"/>
          <w:sz w:val="24"/>
          <w:szCs w:val="24"/>
          <w:rtl/>
        </w:rPr>
        <w:t xml:space="preserve"> </w:t>
      </w:r>
      <w:r w:rsidRPr="00EB03DD">
        <w:rPr>
          <w:rFonts w:ascii="David" w:hAnsi="David" w:cs="David" w:hint="eastAsia"/>
          <w:sz w:val="24"/>
          <w:szCs w:val="24"/>
          <w:rtl/>
        </w:rPr>
        <w:t>בוועדת</w:t>
      </w:r>
      <w:r w:rsidRPr="00EB03DD">
        <w:rPr>
          <w:rFonts w:ascii="David" w:hAnsi="David" w:cs="David"/>
          <w:sz w:val="24"/>
          <w:szCs w:val="24"/>
          <w:rtl/>
        </w:rPr>
        <w:t xml:space="preserve"> </w:t>
      </w:r>
      <w:r w:rsidRPr="00EB03DD">
        <w:rPr>
          <w:rFonts w:ascii="David" w:hAnsi="David" w:cs="David" w:hint="eastAsia"/>
          <w:sz w:val="24"/>
          <w:szCs w:val="24"/>
          <w:rtl/>
        </w:rPr>
        <w:t>האתיקה</w:t>
      </w:r>
      <w:r w:rsidRPr="00EB03DD">
        <w:rPr>
          <w:rFonts w:ascii="David" w:hAnsi="David" w:cs="David"/>
          <w:sz w:val="24"/>
          <w:szCs w:val="24"/>
          <w:rtl/>
        </w:rPr>
        <w:t xml:space="preserve"> </w:t>
      </w:r>
      <w:r w:rsidRPr="00EB03DD">
        <w:rPr>
          <w:rFonts w:ascii="David" w:hAnsi="David" w:cs="David" w:hint="eastAsia"/>
          <w:sz w:val="24"/>
          <w:szCs w:val="24"/>
          <w:rtl/>
        </w:rPr>
        <w:t>והחלטות</w:t>
      </w:r>
      <w:r w:rsidR="00011C10" w:rsidRPr="00EB03DD">
        <w:rPr>
          <w:rFonts w:ascii="David" w:hAnsi="David" w:cs="David" w:hint="cs"/>
          <w:sz w:val="24"/>
          <w:szCs w:val="24"/>
          <w:rtl/>
        </w:rPr>
        <w:t xml:space="preserve">יה </w:t>
      </w:r>
      <w:r w:rsidR="006327CB" w:rsidRPr="00EB03DD">
        <w:rPr>
          <w:rFonts w:ascii="David" w:hAnsi="David" w:cs="David" w:hint="cs"/>
          <w:sz w:val="24"/>
          <w:szCs w:val="24"/>
          <w:rtl/>
        </w:rPr>
        <w:t>מהווים משפט עמיתים</w:t>
      </w:r>
      <w:r w:rsidR="000F30CB">
        <w:rPr>
          <w:rFonts w:ascii="David" w:hAnsi="David" w:cs="David" w:hint="cs"/>
          <w:sz w:val="24"/>
          <w:szCs w:val="24"/>
          <w:rtl/>
        </w:rPr>
        <w:t xml:space="preserve"> בהליך מעין שיפוטי</w:t>
      </w:r>
      <w:r w:rsidR="006327CB" w:rsidRPr="00EB03DD">
        <w:rPr>
          <w:rFonts w:ascii="David" w:hAnsi="David" w:cs="David" w:hint="cs"/>
          <w:sz w:val="24"/>
          <w:szCs w:val="24"/>
          <w:rtl/>
        </w:rPr>
        <w:t xml:space="preserve"> ולפיכך </w:t>
      </w:r>
      <w:r w:rsidR="00011C10" w:rsidRPr="00EB03DD">
        <w:rPr>
          <w:rFonts w:ascii="David" w:hAnsi="David" w:cs="David" w:hint="cs"/>
          <w:sz w:val="24"/>
          <w:szCs w:val="24"/>
          <w:rtl/>
        </w:rPr>
        <w:t>כרוכים ברגישות ובצורך לשמירה על פרטיותם</w:t>
      </w:r>
      <w:r w:rsidR="00EB03DD">
        <w:rPr>
          <w:rFonts w:ascii="David" w:hAnsi="David" w:cs="David" w:hint="cs"/>
          <w:sz w:val="24"/>
          <w:szCs w:val="24"/>
          <w:rtl/>
        </w:rPr>
        <w:t xml:space="preserve"> של חברי הכנסת </w:t>
      </w:r>
      <w:proofErr w:type="spellStart"/>
      <w:r w:rsidR="00EB03DD">
        <w:rPr>
          <w:rFonts w:ascii="David" w:hAnsi="David" w:cs="David" w:hint="cs"/>
          <w:sz w:val="24"/>
          <w:szCs w:val="24"/>
          <w:rtl/>
        </w:rPr>
        <w:t>הנקבלים</w:t>
      </w:r>
      <w:proofErr w:type="spellEnd"/>
      <w:r w:rsidR="00EB03DD">
        <w:rPr>
          <w:rFonts w:ascii="David" w:hAnsi="David" w:cs="David" w:hint="cs"/>
          <w:sz w:val="24"/>
          <w:szCs w:val="24"/>
          <w:rtl/>
        </w:rPr>
        <w:t xml:space="preserve"> והקובלים</w:t>
      </w:r>
      <w:r w:rsidR="00EB03DD" w:rsidRPr="00EB03DD">
        <w:rPr>
          <w:rFonts w:ascii="David" w:hAnsi="David" w:cs="David" w:hint="cs"/>
          <w:sz w:val="24"/>
          <w:szCs w:val="24"/>
          <w:rtl/>
        </w:rPr>
        <w:t>.</w:t>
      </w:r>
    </w:p>
    <w:p w:rsidR="00167FF8" w:rsidRPr="006327CB" w:rsidRDefault="005E4E95" w:rsidP="00EC5016">
      <w:pPr>
        <w:pStyle w:val="a3"/>
        <w:numPr>
          <w:ilvl w:val="0"/>
          <w:numId w:val="2"/>
        </w:num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EF750B">
        <w:rPr>
          <w:rFonts w:ascii="David" w:hAnsi="David" w:cs="David" w:hint="cs"/>
          <w:sz w:val="24"/>
          <w:szCs w:val="24"/>
          <w:rtl/>
        </w:rPr>
        <w:t>סעיף</w:t>
      </w:r>
      <w:r w:rsidR="00CB7386" w:rsidRPr="006327CB">
        <w:rPr>
          <w:rFonts w:ascii="David" w:hAnsi="David" w:cs="David"/>
          <w:sz w:val="24"/>
          <w:szCs w:val="24"/>
          <w:rtl/>
        </w:rPr>
        <w:t xml:space="preserve"> 21 לכללי האתיקה קובע כי "</w:t>
      </w:r>
      <w:r w:rsidRPr="006327CB">
        <w:rPr>
          <w:rFonts w:ascii="David" w:hAnsi="David" w:cs="David"/>
          <w:sz w:val="24"/>
          <w:szCs w:val="24"/>
          <w:rtl/>
        </w:rPr>
        <w:t xml:space="preserve">הליכי אתיקה נגד חבר הכנסת ודיוני ועדת האתיקה בהם, והמסמכים, הפרוטוקולים וההחלטות </w:t>
      </w:r>
      <w:proofErr w:type="spellStart"/>
      <w:r w:rsidRPr="006327CB">
        <w:rPr>
          <w:rFonts w:ascii="David" w:hAnsi="David" w:cs="David"/>
          <w:sz w:val="24"/>
          <w:szCs w:val="24"/>
          <w:rtl/>
        </w:rPr>
        <w:t>בענינם</w:t>
      </w:r>
      <w:proofErr w:type="spellEnd"/>
      <w:r w:rsidRPr="006327CB">
        <w:rPr>
          <w:rFonts w:ascii="David" w:hAnsi="David" w:cs="David"/>
          <w:sz w:val="24"/>
          <w:szCs w:val="24"/>
          <w:rtl/>
        </w:rPr>
        <w:t>, יהיו חסויים; אין לנכוח בהם אלא ברשות הועדה, ואין לפרסמם, כולם או מקצתם, אלא ברשות בכתב מאת הועדה ובתנאים שתקבע</w:t>
      </w:r>
      <w:r w:rsidR="00CB7386" w:rsidRPr="006327CB">
        <w:rPr>
          <w:rFonts w:ascii="David" w:hAnsi="David" w:cs="David"/>
          <w:sz w:val="24"/>
          <w:szCs w:val="24"/>
          <w:rtl/>
        </w:rPr>
        <w:t xml:space="preserve">". </w:t>
      </w:r>
      <w:r w:rsidR="00CB7386" w:rsidRPr="00EF750B">
        <w:rPr>
          <w:rFonts w:ascii="David" w:hAnsi="David" w:cs="David" w:hint="cs"/>
          <w:sz w:val="24"/>
          <w:szCs w:val="24"/>
          <w:rtl/>
        </w:rPr>
        <w:t>ה</w:t>
      </w:r>
      <w:r w:rsidR="00011C10" w:rsidRPr="00EF750B">
        <w:rPr>
          <w:rFonts w:ascii="David" w:hAnsi="David" w:cs="David" w:hint="cs"/>
          <w:sz w:val="24"/>
          <w:szCs w:val="24"/>
          <w:rtl/>
        </w:rPr>
        <w:t>חיסיון</w:t>
      </w:r>
      <w:r w:rsidRPr="006327CB">
        <w:rPr>
          <w:rFonts w:ascii="David" w:hAnsi="David" w:cs="David"/>
          <w:sz w:val="24"/>
          <w:szCs w:val="24"/>
          <w:rtl/>
        </w:rPr>
        <w:t xml:space="preserve"> החל</w:t>
      </w:r>
      <w:r w:rsidR="00011C10" w:rsidRPr="006327CB">
        <w:rPr>
          <w:rFonts w:ascii="David" w:hAnsi="David" w:cs="David"/>
          <w:sz w:val="24"/>
          <w:szCs w:val="24"/>
          <w:rtl/>
        </w:rPr>
        <w:t xml:space="preserve"> </w:t>
      </w:r>
      <w:r w:rsidRPr="006327CB">
        <w:rPr>
          <w:rFonts w:ascii="David" w:hAnsi="David" w:cs="David" w:hint="eastAsia"/>
          <w:sz w:val="24"/>
          <w:szCs w:val="24"/>
          <w:rtl/>
        </w:rPr>
        <w:t>על</w:t>
      </w:r>
      <w:r w:rsidRPr="006327CB">
        <w:rPr>
          <w:rFonts w:ascii="David" w:hAnsi="David" w:cs="David"/>
          <w:sz w:val="24"/>
          <w:szCs w:val="24"/>
          <w:rtl/>
        </w:rPr>
        <w:t xml:space="preserve"> הליכי </w:t>
      </w:r>
      <w:r w:rsidR="00011C10" w:rsidRPr="006327CB">
        <w:rPr>
          <w:rFonts w:ascii="David" w:hAnsi="David" w:cs="David" w:hint="eastAsia"/>
          <w:sz w:val="24"/>
          <w:szCs w:val="24"/>
          <w:rtl/>
        </w:rPr>
        <w:t>ועדת</w:t>
      </w:r>
      <w:r w:rsidR="00011C10" w:rsidRPr="006327CB">
        <w:rPr>
          <w:rFonts w:ascii="David" w:hAnsi="David" w:cs="David"/>
          <w:sz w:val="24"/>
          <w:szCs w:val="24"/>
          <w:rtl/>
        </w:rPr>
        <w:t xml:space="preserve"> האתיקה, </w:t>
      </w:r>
      <w:r w:rsidRPr="006327CB">
        <w:rPr>
          <w:rFonts w:ascii="David" w:hAnsi="David" w:cs="David" w:hint="eastAsia"/>
          <w:sz w:val="24"/>
          <w:szCs w:val="24"/>
          <w:rtl/>
        </w:rPr>
        <w:t>נועד</w:t>
      </w:r>
      <w:r w:rsidR="00011C10" w:rsidRPr="006327CB">
        <w:rPr>
          <w:rFonts w:ascii="David" w:hAnsi="David" w:cs="David"/>
          <w:sz w:val="24"/>
          <w:szCs w:val="24"/>
          <w:rtl/>
        </w:rPr>
        <w:t xml:space="preserve"> לשמירה על פרטיות חברי הכנסת</w:t>
      </w:r>
      <w:r w:rsidR="001823CD" w:rsidRPr="006327CB">
        <w:rPr>
          <w:rFonts w:ascii="David" w:hAnsi="David" w:cs="David"/>
          <w:sz w:val="24"/>
          <w:szCs w:val="24"/>
          <w:rtl/>
        </w:rPr>
        <w:t xml:space="preserve"> וכן לשמירה על עבודת חברי הוועדה</w:t>
      </w:r>
      <w:r w:rsidR="005644B2">
        <w:rPr>
          <w:rFonts w:ascii="David" w:hAnsi="David" w:cs="David" w:hint="cs"/>
          <w:sz w:val="24"/>
          <w:szCs w:val="24"/>
          <w:rtl/>
        </w:rPr>
        <w:t>;</w:t>
      </w:r>
      <w:r w:rsidR="00EF750B">
        <w:rPr>
          <w:rFonts w:ascii="David" w:hAnsi="David" w:cs="David" w:hint="cs"/>
          <w:sz w:val="24"/>
          <w:szCs w:val="24"/>
          <w:rtl/>
        </w:rPr>
        <w:t xml:space="preserve"> ולכן,</w:t>
      </w:r>
      <w:r w:rsidR="00011C10" w:rsidRPr="006327CB">
        <w:rPr>
          <w:rFonts w:ascii="David" w:hAnsi="David" w:cs="David"/>
          <w:sz w:val="24"/>
          <w:szCs w:val="24"/>
          <w:rtl/>
        </w:rPr>
        <w:t xml:space="preserve"> </w:t>
      </w:r>
      <w:r w:rsidR="006327CB">
        <w:rPr>
          <w:rFonts w:ascii="David" w:hAnsi="David" w:cs="David" w:hint="cs"/>
          <w:sz w:val="24"/>
          <w:szCs w:val="24"/>
          <w:rtl/>
        </w:rPr>
        <w:t xml:space="preserve">ככלל, הוועדה רשאית להסתפק בתגובה </w:t>
      </w:r>
      <w:r w:rsidR="000F30CB">
        <w:rPr>
          <w:rFonts w:ascii="David" w:hAnsi="David" w:cs="David" w:hint="cs"/>
          <w:sz w:val="24"/>
          <w:szCs w:val="24"/>
          <w:rtl/>
        </w:rPr>
        <w:t xml:space="preserve">שמאפשרת זכות טיעון </w:t>
      </w:r>
      <w:r w:rsidR="006327CB">
        <w:rPr>
          <w:rFonts w:ascii="David" w:hAnsi="David" w:cs="David" w:hint="cs"/>
          <w:sz w:val="24"/>
          <w:szCs w:val="24"/>
          <w:rtl/>
        </w:rPr>
        <w:t xml:space="preserve">בכתב של </w:t>
      </w:r>
      <w:proofErr w:type="spellStart"/>
      <w:r w:rsidR="006327CB">
        <w:rPr>
          <w:rFonts w:ascii="David" w:hAnsi="David" w:cs="David" w:hint="cs"/>
          <w:sz w:val="24"/>
          <w:szCs w:val="24"/>
          <w:rtl/>
        </w:rPr>
        <w:t>הנקבל</w:t>
      </w:r>
      <w:proofErr w:type="spellEnd"/>
      <w:r w:rsidR="006327CB">
        <w:rPr>
          <w:rFonts w:ascii="David" w:hAnsi="David" w:cs="David" w:hint="cs"/>
          <w:sz w:val="24"/>
          <w:szCs w:val="24"/>
          <w:rtl/>
        </w:rPr>
        <w:t xml:space="preserve"> ואינה מאפשרת הגעת מוזמנים שאינם הצדדים לקובלנה לדיוניה.</w:t>
      </w:r>
    </w:p>
    <w:p w:rsidR="008142AA" w:rsidRPr="00CA0801" w:rsidRDefault="00A162C5" w:rsidP="00414ECE">
      <w:pPr>
        <w:pStyle w:val="a3"/>
        <w:numPr>
          <w:ilvl w:val="0"/>
          <w:numId w:val="2"/>
        </w:num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1823CD">
        <w:rPr>
          <w:rFonts w:ascii="David" w:hAnsi="David" w:cs="David" w:hint="eastAsia"/>
          <w:sz w:val="24"/>
          <w:szCs w:val="24"/>
          <w:rtl/>
        </w:rPr>
        <w:t>שימוש</w:t>
      </w:r>
      <w:r w:rsidRPr="001823CD">
        <w:rPr>
          <w:rFonts w:ascii="David" w:hAnsi="David" w:cs="David"/>
          <w:sz w:val="24"/>
          <w:szCs w:val="24"/>
          <w:rtl/>
        </w:rPr>
        <w:t xml:space="preserve"> בהחלטות ועדת האתיקה או בהליך האתי כדי להכפיש חבר כנסת אחר או כדי להתנגח בו, </w:t>
      </w:r>
      <w:r w:rsidR="005E4E95">
        <w:rPr>
          <w:rFonts w:ascii="David" w:hAnsi="David" w:cs="David" w:hint="cs"/>
          <w:sz w:val="24"/>
          <w:szCs w:val="24"/>
          <w:rtl/>
        </w:rPr>
        <w:t>מפר את הוראות סעיף 21</w:t>
      </w:r>
      <w:r w:rsidR="000F30CB">
        <w:rPr>
          <w:rFonts w:ascii="David" w:hAnsi="David" w:cs="David" w:hint="cs"/>
          <w:sz w:val="24"/>
          <w:szCs w:val="24"/>
          <w:rtl/>
        </w:rPr>
        <w:t xml:space="preserve"> לכללים,</w:t>
      </w:r>
      <w:r w:rsidR="005E4E95">
        <w:rPr>
          <w:rFonts w:ascii="David" w:hAnsi="David" w:cs="David" w:hint="cs"/>
          <w:sz w:val="24"/>
          <w:szCs w:val="24"/>
          <w:rtl/>
        </w:rPr>
        <w:t xml:space="preserve"> ו</w:t>
      </w:r>
      <w:r w:rsidRPr="001823CD">
        <w:rPr>
          <w:rFonts w:ascii="David" w:hAnsi="David" w:cs="David" w:hint="eastAsia"/>
          <w:sz w:val="24"/>
          <w:szCs w:val="24"/>
          <w:rtl/>
        </w:rPr>
        <w:t>פוגע</w:t>
      </w:r>
      <w:r w:rsidRPr="001823CD">
        <w:rPr>
          <w:rFonts w:ascii="David" w:hAnsi="David" w:cs="David"/>
          <w:sz w:val="24"/>
          <w:szCs w:val="24"/>
          <w:rtl/>
        </w:rPr>
        <w:t xml:space="preserve"> </w:t>
      </w:r>
      <w:r w:rsidRPr="001823CD">
        <w:rPr>
          <w:rFonts w:ascii="David" w:hAnsi="David" w:cs="David" w:hint="eastAsia"/>
          <w:sz w:val="24"/>
          <w:szCs w:val="24"/>
          <w:rtl/>
        </w:rPr>
        <w:t>בהליך</w:t>
      </w:r>
      <w:r w:rsidRPr="001823CD">
        <w:rPr>
          <w:rFonts w:ascii="David" w:hAnsi="David" w:cs="David"/>
          <w:sz w:val="24"/>
          <w:szCs w:val="24"/>
          <w:rtl/>
        </w:rPr>
        <w:t xml:space="preserve"> </w:t>
      </w:r>
      <w:r w:rsidRPr="001823CD">
        <w:rPr>
          <w:rFonts w:ascii="David" w:hAnsi="David" w:cs="David" w:hint="eastAsia"/>
          <w:sz w:val="24"/>
          <w:szCs w:val="24"/>
          <w:rtl/>
        </w:rPr>
        <w:t>המתנהל</w:t>
      </w:r>
      <w:r w:rsidRPr="001823CD">
        <w:rPr>
          <w:rFonts w:ascii="David" w:hAnsi="David" w:cs="David"/>
          <w:sz w:val="24"/>
          <w:szCs w:val="24"/>
          <w:rtl/>
        </w:rPr>
        <w:t xml:space="preserve"> </w:t>
      </w:r>
      <w:r w:rsidRPr="001823CD">
        <w:rPr>
          <w:rFonts w:ascii="David" w:hAnsi="David" w:cs="David" w:hint="eastAsia"/>
          <w:sz w:val="24"/>
          <w:szCs w:val="24"/>
          <w:rtl/>
        </w:rPr>
        <w:t>בוועדה</w:t>
      </w:r>
      <w:r w:rsidRPr="001823CD">
        <w:rPr>
          <w:rFonts w:ascii="David" w:hAnsi="David" w:cs="David"/>
          <w:sz w:val="24"/>
          <w:szCs w:val="24"/>
          <w:rtl/>
        </w:rPr>
        <w:t xml:space="preserve"> </w:t>
      </w:r>
      <w:r w:rsidRPr="001823CD">
        <w:rPr>
          <w:rFonts w:ascii="David" w:hAnsi="David" w:cs="David" w:hint="eastAsia"/>
          <w:sz w:val="24"/>
          <w:szCs w:val="24"/>
          <w:rtl/>
        </w:rPr>
        <w:t>ובתוקף</w:t>
      </w:r>
      <w:r w:rsidRPr="001823CD">
        <w:rPr>
          <w:rFonts w:ascii="David" w:hAnsi="David" w:cs="David"/>
          <w:sz w:val="24"/>
          <w:szCs w:val="24"/>
          <w:rtl/>
        </w:rPr>
        <w:t xml:space="preserve"> </w:t>
      </w:r>
      <w:r w:rsidRPr="001823CD">
        <w:rPr>
          <w:rFonts w:ascii="David" w:hAnsi="David" w:cs="David" w:hint="eastAsia"/>
          <w:sz w:val="24"/>
          <w:szCs w:val="24"/>
          <w:rtl/>
        </w:rPr>
        <w:t>החלטותיה</w:t>
      </w:r>
      <w:r w:rsidRPr="001823CD">
        <w:rPr>
          <w:rFonts w:ascii="David" w:hAnsi="David" w:cs="David"/>
          <w:sz w:val="24"/>
          <w:szCs w:val="24"/>
          <w:rtl/>
        </w:rPr>
        <w:t xml:space="preserve">. </w:t>
      </w:r>
      <w:r w:rsidR="001823CD">
        <w:rPr>
          <w:rFonts w:ascii="David" w:hAnsi="David" w:cs="David" w:hint="cs"/>
          <w:sz w:val="24"/>
          <w:szCs w:val="24"/>
          <w:rtl/>
        </w:rPr>
        <w:t>בנוסף</w:t>
      </w:r>
      <w:r w:rsidR="001823CD" w:rsidRPr="00CA0801">
        <w:rPr>
          <w:rFonts w:ascii="David" w:hAnsi="David" w:cs="David" w:hint="cs"/>
          <w:sz w:val="24"/>
          <w:szCs w:val="24"/>
          <w:rtl/>
        </w:rPr>
        <w:t xml:space="preserve">, </w:t>
      </w:r>
      <w:r w:rsidRPr="00CA0801">
        <w:rPr>
          <w:rFonts w:ascii="David" w:hAnsi="David" w:cs="David" w:hint="eastAsia"/>
          <w:sz w:val="24"/>
          <w:szCs w:val="24"/>
          <w:rtl/>
        </w:rPr>
        <w:t>יש</w:t>
      </w:r>
      <w:r w:rsidRPr="00CA0801">
        <w:rPr>
          <w:rFonts w:ascii="David" w:hAnsi="David" w:cs="David"/>
          <w:sz w:val="24"/>
          <w:szCs w:val="24"/>
          <w:rtl/>
        </w:rPr>
        <w:t xml:space="preserve"> </w:t>
      </w:r>
      <w:r w:rsidRPr="00CA0801">
        <w:rPr>
          <w:rFonts w:ascii="David" w:hAnsi="David" w:cs="David" w:hint="eastAsia"/>
          <w:sz w:val="24"/>
          <w:szCs w:val="24"/>
          <w:rtl/>
        </w:rPr>
        <w:t>ב</w:t>
      </w:r>
      <w:r w:rsidR="001823CD" w:rsidRPr="00CA0801">
        <w:rPr>
          <w:rFonts w:ascii="David" w:hAnsi="David" w:cs="David" w:hint="cs"/>
          <w:sz w:val="24"/>
          <w:szCs w:val="24"/>
          <w:rtl/>
        </w:rPr>
        <w:t xml:space="preserve">כך </w:t>
      </w:r>
      <w:r w:rsidRPr="00CA0801">
        <w:rPr>
          <w:rFonts w:ascii="David" w:hAnsi="David" w:cs="David" w:hint="eastAsia"/>
          <w:sz w:val="24"/>
          <w:szCs w:val="24"/>
          <w:rtl/>
        </w:rPr>
        <w:t>משום</w:t>
      </w:r>
      <w:r w:rsidRPr="00CA0801">
        <w:rPr>
          <w:rFonts w:ascii="David" w:hAnsi="David" w:cs="David"/>
          <w:sz w:val="24"/>
          <w:szCs w:val="24"/>
          <w:rtl/>
        </w:rPr>
        <w:t xml:space="preserve"> </w:t>
      </w:r>
      <w:r w:rsidRPr="00CA0801">
        <w:rPr>
          <w:rFonts w:ascii="David" w:hAnsi="David" w:cs="David" w:hint="eastAsia"/>
          <w:sz w:val="24"/>
          <w:szCs w:val="24"/>
          <w:rtl/>
        </w:rPr>
        <w:t>פגיעה</w:t>
      </w:r>
      <w:r w:rsidRPr="00CA0801">
        <w:rPr>
          <w:rFonts w:ascii="David" w:hAnsi="David" w:cs="David"/>
          <w:sz w:val="24"/>
          <w:szCs w:val="24"/>
          <w:rtl/>
        </w:rPr>
        <w:t xml:space="preserve"> </w:t>
      </w:r>
      <w:r w:rsidRPr="00CA0801">
        <w:rPr>
          <w:rFonts w:ascii="David" w:hAnsi="David" w:cs="David" w:hint="eastAsia"/>
          <w:sz w:val="24"/>
          <w:szCs w:val="24"/>
          <w:rtl/>
        </w:rPr>
        <w:t>בא</w:t>
      </w:r>
      <w:r w:rsidR="00AC1F58" w:rsidRPr="00CA0801">
        <w:rPr>
          <w:rFonts w:ascii="David" w:hAnsi="David" w:cs="David" w:hint="eastAsia"/>
          <w:sz w:val="24"/>
          <w:szCs w:val="24"/>
          <w:rtl/>
        </w:rPr>
        <w:t>מון</w:t>
      </w:r>
      <w:r w:rsidR="00AC1F58" w:rsidRPr="00CA0801">
        <w:rPr>
          <w:rFonts w:ascii="David" w:hAnsi="David" w:cs="David"/>
          <w:sz w:val="24"/>
          <w:szCs w:val="24"/>
          <w:rtl/>
        </w:rPr>
        <w:t xml:space="preserve"> הציבור בכנסת, שכן </w:t>
      </w:r>
      <w:r w:rsidR="005E4E95" w:rsidRPr="00CA0801">
        <w:rPr>
          <w:rFonts w:ascii="David" w:hAnsi="David" w:cs="David" w:hint="eastAsia"/>
          <w:sz w:val="24"/>
          <w:szCs w:val="24"/>
          <w:rtl/>
        </w:rPr>
        <w:t>ה</w:t>
      </w:r>
      <w:r w:rsidR="005E4E95" w:rsidRPr="00CA0801">
        <w:rPr>
          <w:rFonts w:ascii="David" w:hAnsi="David" w:cs="David" w:hint="cs"/>
          <w:sz w:val="24"/>
          <w:szCs w:val="24"/>
          <w:rtl/>
        </w:rPr>
        <w:t>ו</w:t>
      </w:r>
      <w:r w:rsidR="005E4E95" w:rsidRPr="00CA0801">
        <w:rPr>
          <w:rFonts w:ascii="David" w:hAnsi="David" w:cs="David" w:hint="eastAsia"/>
          <w:sz w:val="24"/>
          <w:szCs w:val="24"/>
          <w:rtl/>
        </w:rPr>
        <w:t>א</w:t>
      </w:r>
      <w:r w:rsidR="005E4E95" w:rsidRPr="00CA0801">
        <w:rPr>
          <w:rFonts w:ascii="David" w:hAnsi="David" w:cs="David"/>
          <w:sz w:val="24"/>
          <w:szCs w:val="24"/>
          <w:rtl/>
        </w:rPr>
        <w:t xml:space="preserve"> </w:t>
      </w:r>
      <w:r w:rsidR="00AC1F58" w:rsidRPr="00CA0801">
        <w:rPr>
          <w:rFonts w:ascii="David" w:hAnsi="David" w:cs="David"/>
          <w:sz w:val="24"/>
          <w:szCs w:val="24"/>
          <w:rtl/>
        </w:rPr>
        <w:t xml:space="preserve">"צובע" </w:t>
      </w:r>
      <w:r w:rsidR="00AC1F58" w:rsidRPr="00CA0801">
        <w:rPr>
          <w:rFonts w:ascii="David" w:hAnsi="David" w:cs="David" w:hint="eastAsia"/>
          <w:sz w:val="24"/>
          <w:szCs w:val="24"/>
          <w:rtl/>
        </w:rPr>
        <w:t>את</w:t>
      </w:r>
      <w:r w:rsidR="00AC1F58" w:rsidRPr="00CA0801">
        <w:rPr>
          <w:rFonts w:ascii="David" w:hAnsi="David" w:cs="David"/>
          <w:sz w:val="24"/>
          <w:szCs w:val="24"/>
          <w:rtl/>
        </w:rPr>
        <w:t xml:space="preserve"> </w:t>
      </w:r>
      <w:r w:rsidR="00AC1F58" w:rsidRPr="00CA0801">
        <w:rPr>
          <w:rFonts w:ascii="David" w:hAnsi="David" w:cs="David" w:hint="eastAsia"/>
          <w:sz w:val="24"/>
          <w:szCs w:val="24"/>
          <w:rtl/>
        </w:rPr>
        <w:t>החלטת</w:t>
      </w:r>
      <w:r w:rsidR="00AC1F58" w:rsidRPr="00CA0801">
        <w:rPr>
          <w:rFonts w:ascii="David" w:hAnsi="David" w:cs="David"/>
          <w:sz w:val="24"/>
          <w:szCs w:val="24"/>
          <w:rtl/>
        </w:rPr>
        <w:t xml:space="preserve"> </w:t>
      </w:r>
      <w:r w:rsidR="00AC1F58" w:rsidRPr="00CA0801">
        <w:rPr>
          <w:rFonts w:ascii="David" w:hAnsi="David" w:cs="David" w:hint="eastAsia"/>
          <w:sz w:val="24"/>
          <w:szCs w:val="24"/>
          <w:rtl/>
        </w:rPr>
        <w:t>הוועדה</w:t>
      </w:r>
      <w:r w:rsidR="00AC1F58" w:rsidRPr="00CA0801">
        <w:rPr>
          <w:rFonts w:ascii="David" w:hAnsi="David" w:cs="David"/>
          <w:sz w:val="24"/>
          <w:szCs w:val="24"/>
          <w:rtl/>
        </w:rPr>
        <w:t xml:space="preserve"> </w:t>
      </w:r>
      <w:r w:rsidR="001823CD" w:rsidRPr="00CA0801">
        <w:rPr>
          <w:rFonts w:ascii="David" w:hAnsi="David" w:cs="David" w:hint="cs"/>
          <w:sz w:val="24"/>
          <w:szCs w:val="24"/>
          <w:rtl/>
        </w:rPr>
        <w:t>בגוון</w:t>
      </w:r>
      <w:r w:rsidR="001823CD" w:rsidRPr="00CA0801">
        <w:rPr>
          <w:rFonts w:ascii="David" w:hAnsi="David" w:cs="David"/>
          <w:sz w:val="24"/>
          <w:szCs w:val="24"/>
          <w:rtl/>
        </w:rPr>
        <w:t xml:space="preserve"> </w:t>
      </w:r>
      <w:r w:rsidR="00AC1F58" w:rsidRPr="00CA0801">
        <w:rPr>
          <w:rFonts w:ascii="David" w:hAnsi="David" w:cs="David" w:hint="eastAsia"/>
          <w:sz w:val="24"/>
          <w:szCs w:val="24"/>
          <w:rtl/>
        </w:rPr>
        <w:t>פוליטי</w:t>
      </w:r>
      <w:r w:rsidR="00AC1F58" w:rsidRPr="00CA0801">
        <w:rPr>
          <w:rFonts w:ascii="David" w:hAnsi="David" w:cs="David"/>
          <w:sz w:val="24"/>
          <w:szCs w:val="24"/>
          <w:rtl/>
        </w:rPr>
        <w:t>.</w:t>
      </w:r>
      <w:r w:rsidRPr="00CA0801">
        <w:rPr>
          <w:rFonts w:ascii="David" w:hAnsi="David" w:cs="David"/>
          <w:sz w:val="24"/>
          <w:szCs w:val="24"/>
          <w:rtl/>
        </w:rPr>
        <w:t xml:space="preserve"> </w:t>
      </w:r>
    </w:p>
    <w:p w:rsidR="000E1E6E" w:rsidRDefault="00167FF8" w:rsidP="000E1E6E">
      <w:pPr>
        <w:pStyle w:val="a3"/>
        <w:numPr>
          <w:ilvl w:val="0"/>
          <w:numId w:val="2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CA0801">
        <w:rPr>
          <w:rFonts w:ascii="David" w:hAnsi="David" w:cs="David" w:hint="eastAsia"/>
          <w:sz w:val="24"/>
          <w:szCs w:val="24"/>
          <w:rtl/>
        </w:rPr>
        <w:t>פרסום</w:t>
      </w:r>
      <w:r w:rsidRPr="00CA0801">
        <w:rPr>
          <w:rFonts w:ascii="David" w:hAnsi="David" w:cs="David"/>
          <w:sz w:val="24"/>
          <w:szCs w:val="24"/>
          <w:rtl/>
        </w:rPr>
        <w:t xml:space="preserve"> פרטי קובלנה </w:t>
      </w:r>
      <w:r w:rsidR="00DF1BE6">
        <w:rPr>
          <w:rFonts w:ascii="David" w:hAnsi="David" w:cs="David" w:hint="cs"/>
          <w:sz w:val="24"/>
          <w:szCs w:val="24"/>
          <w:rtl/>
        </w:rPr>
        <w:t>בוועדות הכנסת, במליאת הכנסת, בתקשורת או</w:t>
      </w:r>
      <w:r w:rsidR="00DF1BE6" w:rsidRPr="00CA0801">
        <w:rPr>
          <w:rFonts w:ascii="David" w:hAnsi="David" w:cs="David"/>
          <w:sz w:val="24"/>
          <w:szCs w:val="24"/>
          <w:rtl/>
        </w:rPr>
        <w:t xml:space="preserve"> </w:t>
      </w:r>
      <w:r w:rsidRPr="00CA0801">
        <w:rPr>
          <w:rFonts w:ascii="David" w:hAnsi="David" w:cs="David" w:hint="eastAsia"/>
          <w:sz w:val="24"/>
          <w:szCs w:val="24"/>
          <w:rtl/>
        </w:rPr>
        <w:t>לציבור</w:t>
      </w:r>
      <w:r w:rsidRPr="00CA0801">
        <w:rPr>
          <w:rFonts w:ascii="David" w:hAnsi="David" w:cs="David"/>
          <w:sz w:val="24"/>
          <w:szCs w:val="24"/>
          <w:rtl/>
        </w:rPr>
        <w:t xml:space="preserve"> </w:t>
      </w:r>
      <w:r w:rsidR="008142AA" w:rsidRPr="00CA0801">
        <w:rPr>
          <w:rFonts w:ascii="David" w:hAnsi="David" w:cs="David"/>
          <w:sz w:val="24"/>
          <w:szCs w:val="24"/>
          <w:rtl/>
        </w:rPr>
        <w:t>– אסור.</w:t>
      </w:r>
      <w:r w:rsidRPr="00CA0801">
        <w:rPr>
          <w:rFonts w:ascii="David" w:hAnsi="David" w:cs="David"/>
          <w:sz w:val="24"/>
          <w:szCs w:val="24"/>
          <w:rtl/>
        </w:rPr>
        <w:t xml:space="preserve"> </w:t>
      </w:r>
      <w:r w:rsidR="00DF1BE6">
        <w:rPr>
          <w:rFonts w:ascii="David" w:hAnsi="David" w:cs="David" w:hint="cs"/>
          <w:sz w:val="24"/>
          <w:szCs w:val="24"/>
          <w:rtl/>
        </w:rPr>
        <w:t>הוועדה רשאית שלא לדון בקובלנה, אם הקובל פרסם אותה</w:t>
      </w:r>
      <w:r w:rsidR="00DF1BE6" w:rsidRPr="00CA0801">
        <w:rPr>
          <w:rStyle w:val="a6"/>
          <w:rFonts w:ascii="David" w:hAnsi="David" w:cs="David"/>
          <w:sz w:val="24"/>
          <w:szCs w:val="24"/>
          <w:rtl/>
        </w:rPr>
        <w:footnoteReference w:id="1"/>
      </w:r>
      <w:r w:rsidR="00DF1BE6" w:rsidRPr="00CA0801">
        <w:rPr>
          <w:rFonts w:ascii="David" w:hAnsi="David" w:cs="David" w:hint="cs"/>
          <w:sz w:val="24"/>
          <w:szCs w:val="24"/>
          <w:rtl/>
        </w:rPr>
        <w:t>.</w:t>
      </w:r>
      <w:r w:rsidR="00DF1BE6">
        <w:rPr>
          <w:rFonts w:ascii="David" w:hAnsi="David" w:cs="David" w:hint="cs"/>
          <w:sz w:val="24"/>
          <w:szCs w:val="24"/>
          <w:rtl/>
        </w:rPr>
        <w:t xml:space="preserve"> אם </w:t>
      </w:r>
      <w:proofErr w:type="spellStart"/>
      <w:r w:rsidR="00DF1BE6">
        <w:rPr>
          <w:rFonts w:ascii="David" w:hAnsi="David" w:cs="David" w:hint="cs"/>
          <w:sz w:val="24"/>
          <w:szCs w:val="24"/>
          <w:rtl/>
        </w:rPr>
        <w:t>הנקבל</w:t>
      </w:r>
      <w:proofErr w:type="spellEnd"/>
      <w:r w:rsidR="00DF1BE6">
        <w:rPr>
          <w:rFonts w:ascii="David" w:hAnsi="David" w:cs="David" w:hint="cs"/>
          <w:sz w:val="24"/>
          <w:szCs w:val="24"/>
          <w:rtl/>
        </w:rPr>
        <w:t xml:space="preserve"> פרסם את דבר הקובלנה ככלי לניגוח חבר הכנסת הקובל, רשאית הוועדה להביא את הפרסום לחובתו של </w:t>
      </w:r>
      <w:proofErr w:type="spellStart"/>
      <w:r w:rsidR="00DF1BE6">
        <w:rPr>
          <w:rFonts w:ascii="David" w:hAnsi="David" w:cs="David" w:hint="cs"/>
          <w:sz w:val="24"/>
          <w:szCs w:val="24"/>
          <w:rtl/>
        </w:rPr>
        <w:t>הנקבל</w:t>
      </w:r>
      <w:proofErr w:type="spellEnd"/>
      <w:r w:rsidR="00DF1BE6">
        <w:rPr>
          <w:rFonts w:ascii="David" w:hAnsi="David" w:cs="David" w:hint="cs"/>
          <w:sz w:val="24"/>
          <w:szCs w:val="24"/>
          <w:rtl/>
        </w:rPr>
        <w:t xml:space="preserve">. </w:t>
      </w:r>
    </w:p>
    <w:p w:rsidR="00EB03DD" w:rsidRPr="00EB03DD" w:rsidRDefault="00EB03DD" w:rsidP="00DD0879">
      <w:pPr>
        <w:pStyle w:val="a3"/>
        <w:numPr>
          <w:ilvl w:val="0"/>
          <w:numId w:val="2"/>
        </w:num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כמו כן, </w:t>
      </w:r>
      <w:r w:rsidR="00DD0879">
        <w:rPr>
          <w:rFonts w:ascii="David" w:hAnsi="David" w:cs="David" w:hint="cs"/>
          <w:sz w:val="24"/>
          <w:szCs w:val="24"/>
          <w:rtl/>
        </w:rPr>
        <w:t xml:space="preserve">הוועדה מבהירה כי יש להגיש קובלנות </w:t>
      </w:r>
      <w:r>
        <w:rPr>
          <w:rFonts w:ascii="David" w:hAnsi="David" w:cs="David" w:hint="cs"/>
          <w:sz w:val="24"/>
          <w:szCs w:val="24"/>
          <w:rtl/>
        </w:rPr>
        <w:t>בתוך 21 ימים מיום האירוע שבגינו מוגשת הקובלנה.</w:t>
      </w:r>
      <w:r w:rsidR="00DD0879">
        <w:rPr>
          <w:rFonts w:ascii="David" w:hAnsi="David" w:cs="David" w:hint="cs"/>
          <w:sz w:val="24"/>
          <w:szCs w:val="24"/>
          <w:rtl/>
        </w:rPr>
        <w:t xml:space="preserve"> הוועדה שומרת לעצמה את הזכות שלא לדון בקובלנה שהוגשה לאחר תקופה זו.</w:t>
      </w:r>
    </w:p>
    <w:p w:rsidR="00D712D2" w:rsidRDefault="00AC1F58" w:rsidP="005644B2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CA0801">
        <w:rPr>
          <w:rFonts w:ascii="David" w:hAnsi="David" w:cs="David" w:hint="cs"/>
          <w:sz w:val="24"/>
          <w:szCs w:val="24"/>
          <w:rtl/>
        </w:rPr>
        <w:t xml:space="preserve">הוועדה מבקשת </w:t>
      </w:r>
      <w:r w:rsidR="006327CB" w:rsidRPr="00CA0801">
        <w:rPr>
          <w:rFonts w:ascii="David" w:hAnsi="David" w:cs="David" w:hint="cs"/>
          <w:sz w:val="24"/>
          <w:szCs w:val="24"/>
          <w:rtl/>
        </w:rPr>
        <w:t xml:space="preserve">מחברי הכנסת </w:t>
      </w:r>
      <w:r w:rsidR="008142AA" w:rsidRPr="00CA0801">
        <w:rPr>
          <w:rFonts w:ascii="David" w:hAnsi="David" w:cs="David" w:hint="cs"/>
          <w:sz w:val="24"/>
          <w:szCs w:val="24"/>
          <w:rtl/>
        </w:rPr>
        <w:t xml:space="preserve">להקפיד על שיח הולם גם בענייני </w:t>
      </w:r>
      <w:r w:rsidR="00DF1BE6">
        <w:rPr>
          <w:rFonts w:ascii="David" w:hAnsi="David" w:cs="David" w:hint="cs"/>
          <w:sz w:val="24"/>
          <w:szCs w:val="24"/>
          <w:rtl/>
        </w:rPr>
        <w:t>עבודתה של ועדת האתיקה</w:t>
      </w:r>
      <w:r w:rsidR="008142AA" w:rsidRPr="00CA0801">
        <w:rPr>
          <w:rFonts w:ascii="David" w:hAnsi="David" w:cs="David" w:hint="cs"/>
          <w:sz w:val="24"/>
          <w:szCs w:val="24"/>
          <w:rtl/>
        </w:rPr>
        <w:t xml:space="preserve"> ו</w:t>
      </w:r>
      <w:r w:rsidR="00372B4A" w:rsidRPr="00CA0801">
        <w:rPr>
          <w:rFonts w:ascii="David" w:hAnsi="David" w:cs="David" w:hint="cs"/>
          <w:sz w:val="24"/>
          <w:szCs w:val="24"/>
          <w:rtl/>
        </w:rPr>
        <w:t>החלטותיה</w:t>
      </w:r>
      <w:r w:rsidR="00DF1BE6">
        <w:rPr>
          <w:rFonts w:ascii="David" w:hAnsi="David" w:cs="David" w:hint="cs"/>
          <w:sz w:val="24"/>
          <w:szCs w:val="24"/>
          <w:rtl/>
        </w:rPr>
        <w:t>,</w:t>
      </w:r>
      <w:r w:rsidR="00372B4A" w:rsidRPr="00CA0801">
        <w:rPr>
          <w:rFonts w:ascii="David" w:hAnsi="David" w:cs="David" w:hint="cs"/>
          <w:sz w:val="24"/>
          <w:szCs w:val="24"/>
          <w:rtl/>
        </w:rPr>
        <w:t xml:space="preserve"> </w:t>
      </w:r>
      <w:r w:rsidR="008142AA" w:rsidRPr="00CA0801">
        <w:rPr>
          <w:rFonts w:ascii="David" w:hAnsi="David" w:cs="David" w:hint="cs"/>
          <w:sz w:val="24"/>
          <w:szCs w:val="24"/>
          <w:rtl/>
        </w:rPr>
        <w:t>ומודיעה כי ככל ש</w:t>
      </w:r>
      <w:r w:rsidR="00DF1BE6">
        <w:rPr>
          <w:rFonts w:ascii="David" w:hAnsi="David" w:cs="David" w:hint="cs"/>
          <w:sz w:val="24"/>
          <w:szCs w:val="24"/>
          <w:rtl/>
        </w:rPr>
        <w:t>עקרונות</w:t>
      </w:r>
      <w:r w:rsidR="008142AA" w:rsidRPr="00CA0801">
        <w:rPr>
          <w:rFonts w:ascii="David" w:hAnsi="David" w:cs="David" w:hint="cs"/>
          <w:sz w:val="24"/>
          <w:szCs w:val="24"/>
          <w:rtl/>
        </w:rPr>
        <w:t xml:space="preserve"> אלה יופרו</w:t>
      </w:r>
      <w:r w:rsidR="00DF1BE6">
        <w:rPr>
          <w:rFonts w:ascii="David" w:hAnsi="David" w:cs="David" w:hint="cs"/>
          <w:sz w:val="24"/>
          <w:szCs w:val="24"/>
          <w:rtl/>
        </w:rPr>
        <w:t xml:space="preserve"> על ידי חברי הכנסת</w:t>
      </w:r>
      <w:r w:rsidR="00C203DE" w:rsidRPr="00CA0801">
        <w:rPr>
          <w:rFonts w:ascii="David" w:hAnsi="David" w:cs="David" w:hint="cs"/>
          <w:sz w:val="24"/>
          <w:szCs w:val="24"/>
          <w:rtl/>
        </w:rPr>
        <w:t>,</w:t>
      </w:r>
      <w:r w:rsidR="00DF1BE6">
        <w:rPr>
          <w:rFonts w:ascii="David" w:hAnsi="David" w:cs="David" w:hint="cs"/>
          <w:sz w:val="24"/>
          <w:szCs w:val="24"/>
          <w:rtl/>
        </w:rPr>
        <w:t xml:space="preserve"> </w:t>
      </w:r>
      <w:r w:rsidR="008142AA" w:rsidRPr="00CA0801">
        <w:rPr>
          <w:rFonts w:ascii="David" w:hAnsi="David" w:cs="David" w:hint="cs"/>
          <w:sz w:val="24"/>
          <w:szCs w:val="24"/>
          <w:rtl/>
        </w:rPr>
        <w:t xml:space="preserve">האמון </w:t>
      </w:r>
      <w:r w:rsidR="00B62241" w:rsidRPr="00CA0801">
        <w:rPr>
          <w:rFonts w:ascii="David" w:hAnsi="David" w:cs="David" w:hint="cs"/>
          <w:sz w:val="24"/>
          <w:szCs w:val="24"/>
          <w:rtl/>
        </w:rPr>
        <w:t>ב</w:t>
      </w:r>
      <w:r w:rsidR="00DF1BE6">
        <w:rPr>
          <w:rFonts w:ascii="David" w:hAnsi="David" w:cs="David" w:hint="cs"/>
          <w:sz w:val="24"/>
          <w:szCs w:val="24"/>
          <w:rtl/>
        </w:rPr>
        <w:t>וועד</w:t>
      </w:r>
      <w:r w:rsidR="00B62241" w:rsidRPr="00CA0801">
        <w:rPr>
          <w:rFonts w:ascii="David" w:hAnsi="David" w:cs="David" w:hint="cs"/>
          <w:sz w:val="24"/>
          <w:szCs w:val="24"/>
          <w:rtl/>
        </w:rPr>
        <w:t>ה</w:t>
      </w:r>
      <w:r w:rsidR="00C203DE" w:rsidRPr="00CA0801">
        <w:rPr>
          <w:rFonts w:ascii="David" w:hAnsi="David" w:cs="David" w:hint="cs"/>
          <w:sz w:val="24"/>
          <w:szCs w:val="24"/>
          <w:rtl/>
        </w:rPr>
        <w:t xml:space="preserve"> ייפגע באופן שיפגע</w:t>
      </w:r>
      <w:r w:rsidR="00C203DE">
        <w:rPr>
          <w:rFonts w:ascii="David" w:hAnsi="David" w:cs="David" w:hint="cs"/>
          <w:sz w:val="24"/>
          <w:szCs w:val="24"/>
          <w:rtl/>
        </w:rPr>
        <w:t xml:space="preserve"> בכבוד הכנסת ובמעמדה</w:t>
      </w:r>
      <w:r w:rsidR="006327CB">
        <w:rPr>
          <w:rFonts w:ascii="David" w:hAnsi="David" w:cs="David" w:hint="cs"/>
          <w:sz w:val="24"/>
          <w:szCs w:val="24"/>
          <w:rtl/>
        </w:rPr>
        <w:t xml:space="preserve">, </w:t>
      </w:r>
      <w:r w:rsidR="00B62241">
        <w:rPr>
          <w:rFonts w:ascii="David" w:hAnsi="David" w:cs="David" w:hint="cs"/>
          <w:sz w:val="24"/>
          <w:szCs w:val="24"/>
          <w:rtl/>
        </w:rPr>
        <w:t xml:space="preserve">ובהתאם לכך גם </w:t>
      </w:r>
      <w:r w:rsidR="00DF1BE6">
        <w:rPr>
          <w:rFonts w:ascii="David" w:hAnsi="David" w:cs="David" w:hint="cs"/>
          <w:sz w:val="24"/>
          <w:szCs w:val="24"/>
          <w:rtl/>
        </w:rPr>
        <w:t>הוועדה עשויה לראות בכך</w:t>
      </w:r>
      <w:r w:rsidR="006327CB">
        <w:rPr>
          <w:rFonts w:ascii="David" w:hAnsi="David" w:cs="David" w:hint="cs"/>
          <w:sz w:val="24"/>
          <w:szCs w:val="24"/>
          <w:rtl/>
        </w:rPr>
        <w:t xml:space="preserve"> </w:t>
      </w:r>
      <w:r w:rsidR="008142AA">
        <w:rPr>
          <w:rFonts w:ascii="David" w:hAnsi="David" w:cs="David" w:hint="cs"/>
          <w:sz w:val="24"/>
          <w:szCs w:val="24"/>
          <w:rtl/>
        </w:rPr>
        <w:t>הפרה של כללי האתיקה</w:t>
      </w:r>
      <w:r w:rsidR="000F30CB">
        <w:rPr>
          <w:rFonts w:ascii="David" w:hAnsi="David" w:cs="David" w:hint="cs"/>
          <w:sz w:val="24"/>
          <w:szCs w:val="24"/>
          <w:rtl/>
        </w:rPr>
        <w:t xml:space="preserve"> שסנקציה בציד</w:t>
      </w:r>
      <w:r w:rsidR="005644B2">
        <w:rPr>
          <w:rFonts w:ascii="David" w:hAnsi="David" w:cs="David" w:hint="cs"/>
          <w:sz w:val="24"/>
          <w:szCs w:val="24"/>
          <w:rtl/>
        </w:rPr>
        <w:t>ה</w:t>
      </w:r>
      <w:r w:rsidR="008142AA">
        <w:rPr>
          <w:rFonts w:ascii="David" w:hAnsi="David" w:cs="David" w:hint="cs"/>
          <w:sz w:val="24"/>
          <w:szCs w:val="24"/>
          <w:rtl/>
        </w:rPr>
        <w:t xml:space="preserve">. </w:t>
      </w:r>
      <w:r w:rsidR="00372B4A">
        <w:rPr>
          <w:rFonts w:ascii="David" w:hAnsi="David" w:cs="David" w:hint="cs"/>
          <w:sz w:val="24"/>
          <w:szCs w:val="24"/>
          <w:rtl/>
        </w:rPr>
        <w:t xml:space="preserve"> </w:t>
      </w:r>
    </w:p>
    <w:p w:rsidR="00AC1F58" w:rsidRDefault="00AC1F58" w:rsidP="00AC1F58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</w:p>
    <w:p w:rsidR="008D43F9" w:rsidRDefault="008D43F9" w:rsidP="00AC1F58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</w:p>
    <w:p w:rsidR="00AC1F58" w:rsidRDefault="00AC1F58" w:rsidP="00894FE0">
      <w:pPr>
        <w:spacing w:after="0" w:line="24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 w:hint="cs"/>
          <w:sz w:val="24"/>
          <w:szCs w:val="24"/>
          <w:rtl/>
        </w:rPr>
        <w:t>____________</w:t>
      </w:r>
      <w:r w:rsidR="00894FE0">
        <w:rPr>
          <w:rFonts w:ascii="David" w:hAnsi="David" w:cs="David" w:hint="cs"/>
          <w:sz w:val="24"/>
          <w:szCs w:val="24"/>
          <w:rtl/>
        </w:rPr>
        <w:t>__</w:t>
      </w:r>
      <w:r>
        <w:rPr>
          <w:rFonts w:ascii="David" w:hAnsi="David" w:cs="David" w:hint="cs"/>
          <w:sz w:val="24"/>
          <w:szCs w:val="24"/>
          <w:rtl/>
        </w:rPr>
        <w:t>____</w:t>
      </w:r>
    </w:p>
    <w:p w:rsidR="00AC1F58" w:rsidRDefault="00AC1F58" w:rsidP="00894FE0">
      <w:pPr>
        <w:spacing w:after="0" w:line="24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 w:rsidR="00894FE0">
        <w:rPr>
          <w:rFonts w:ascii="David" w:hAnsi="David" w:cs="David" w:hint="cs"/>
          <w:sz w:val="24"/>
          <w:szCs w:val="24"/>
          <w:rtl/>
        </w:rPr>
        <w:t xml:space="preserve"> </w:t>
      </w:r>
      <w:r>
        <w:rPr>
          <w:rFonts w:ascii="David" w:hAnsi="David" w:cs="David" w:hint="cs"/>
          <w:sz w:val="24"/>
          <w:szCs w:val="24"/>
          <w:rtl/>
        </w:rPr>
        <w:t>חבר הכנסת ינון אזולאי</w:t>
      </w:r>
    </w:p>
    <w:p w:rsidR="00AC1F58" w:rsidRPr="00AC1F58" w:rsidRDefault="00AC1F58" w:rsidP="00894FE0">
      <w:pPr>
        <w:spacing w:after="0" w:line="24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 w:hint="cs"/>
          <w:sz w:val="24"/>
          <w:szCs w:val="24"/>
          <w:rtl/>
        </w:rPr>
        <w:t>יושב ראש ועדת האתיקה</w:t>
      </w:r>
    </w:p>
    <w:sectPr w:rsidR="00AC1F58" w:rsidRPr="00AC1F58" w:rsidSect="008D43F9">
      <w:headerReference w:type="default" r:id="rId8"/>
      <w:pgSz w:w="11906" w:h="16838"/>
      <w:pgMar w:top="1134" w:right="1800" w:bottom="709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79CB" w:rsidRDefault="009B79CB" w:rsidP="002D5504">
      <w:pPr>
        <w:spacing w:after="0" w:line="240" w:lineRule="auto"/>
      </w:pPr>
      <w:r>
        <w:separator/>
      </w:r>
    </w:p>
  </w:endnote>
  <w:endnote w:type="continuationSeparator" w:id="0">
    <w:p w:rsidR="009B79CB" w:rsidRDefault="009B79CB" w:rsidP="002D5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79CB" w:rsidRDefault="009B79CB" w:rsidP="002D5504">
      <w:pPr>
        <w:spacing w:after="0" w:line="240" w:lineRule="auto"/>
      </w:pPr>
      <w:r>
        <w:separator/>
      </w:r>
    </w:p>
  </w:footnote>
  <w:footnote w:type="continuationSeparator" w:id="0">
    <w:p w:rsidR="009B79CB" w:rsidRDefault="009B79CB" w:rsidP="002D5504">
      <w:pPr>
        <w:spacing w:after="0" w:line="240" w:lineRule="auto"/>
      </w:pPr>
      <w:r>
        <w:continuationSeparator/>
      </w:r>
    </w:p>
  </w:footnote>
  <w:footnote w:id="1">
    <w:p w:rsidR="00DF1BE6" w:rsidRDefault="00DF1BE6" w:rsidP="00DF1BE6">
      <w:pPr>
        <w:pStyle w:val="a4"/>
      </w:pPr>
      <w:r w:rsidRPr="00414ECE">
        <w:rPr>
          <w:rStyle w:val="a6"/>
          <w:rFonts w:ascii="David" w:hAnsi="David" w:cs="David"/>
        </w:rPr>
        <w:footnoteRef/>
      </w:r>
      <w:r w:rsidRPr="00414ECE">
        <w:rPr>
          <w:rFonts w:ascii="David" w:hAnsi="David" w:cs="David"/>
          <w:rtl/>
        </w:rPr>
        <w:t xml:space="preserve"> </w:t>
      </w:r>
      <w:r w:rsidRPr="00A36AA3">
        <w:rPr>
          <w:rFonts w:ascii="David" w:hAnsi="David" w:cs="David"/>
          <w:rtl/>
        </w:rPr>
        <w:t xml:space="preserve">החלטת הוועדה מיום כ"ד בסיון </w:t>
      </w:r>
      <w:proofErr w:type="spellStart"/>
      <w:r w:rsidRPr="00A36AA3">
        <w:rPr>
          <w:rFonts w:ascii="David" w:hAnsi="David" w:cs="David"/>
          <w:rtl/>
        </w:rPr>
        <w:t>הת</w:t>
      </w:r>
      <w:r w:rsidRPr="00A36AA3">
        <w:rPr>
          <w:rFonts w:ascii="David" w:hAnsi="David" w:cs="David" w:hint="eastAsia"/>
          <w:rtl/>
        </w:rPr>
        <w:t>שס</w:t>
      </w:r>
      <w:r w:rsidRPr="00A36AA3">
        <w:rPr>
          <w:rFonts w:ascii="David" w:hAnsi="David" w:cs="David"/>
          <w:rtl/>
        </w:rPr>
        <w:t>"ו</w:t>
      </w:r>
      <w:proofErr w:type="spellEnd"/>
      <w:r w:rsidRPr="00A36AA3">
        <w:rPr>
          <w:rFonts w:ascii="David" w:hAnsi="David" w:cs="David"/>
          <w:rtl/>
        </w:rPr>
        <w:t xml:space="preserve"> (20.6.06)</w:t>
      </w:r>
      <w:r w:rsidRPr="00A36AA3">
        <w:rPr>
          <w:rFonts w:hint="cs"/>
          <w:rtl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5016" w:rsidRDefault="00EC5016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0648ED"/>
    <w:multiLevelType w:val="hybridMultilevel"/>
    <w:tmpl w:val="358EE30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859402B"/>
    <w:multiLevelType w:val="hybridMultilevel"/>
    <w:tmpl w:val="B0F662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166"/>
    <w:rsid w:val="00001980"/>
    <w:rsid w:val="00011C10"/>
    <w:rsid w:val="00056C46"/>
    <w:rsid w:val="000B07EC"/>
    <w:rsid w:val="000C0254"/>
    <w:rsid w:val="000D446C"/>
    <w:rsid w:val="000E1E6E"/>
    <w:rsid w:val="000F30CB"/>
    <w:rsid w:val="00167FF8"/>
    <w:rsid w:val="001823CD"/>
    <w:rsid w:val="001860B8"/>
    <w:rsid w:val="00190748"/>
    <w:rsid w:val="001B0730"/>
    <w:rsid w:val="001D6A99"/>
    <w:rsid w:val="00211164"/>
    <w:rsid w:val="0021386F"/>
    <w:rsid w:val="00222B48"/>
    <w:rsid w:val="0022558B"/>
    <w:rsid w:val="00231B00"/>
    <w:rsid w:val="002541F1"/>
    <w:rsid w:val="00265A29"/>
    <w:rsid w:val="002A6942"/>
    <w:rsid w:val="002C7855"/>
    <w:rsid w:val="002D5504"/>
    <w:rsid w:val="002E21CB"/>
    <w:rsid w:val="002F1311"/>
    <w:rsid w:val="00372B4A"/>
    <w:rsid w:val="003D4D5A"/>
    <w:rsid w:val="003E3754"/>
    <w:rsid w:val="003F63BD"/>
    <w:rsid w:val="003F7D40"/>
    <w:rsid w:val="00414ECE"/>
    <w:rsid w:val="00487752"/>
    <w:rsid w:val="00490BE0"/>
    <w:rsid w:val="004E4B7D"/>
    <w:rsid w:val="004F623B"/>
    <w:rsid w:val="00537DEE"/>
    <w:rsid w:val="005561EC"/>
    <w:rsid w:val="005644B2"/>
    <w:rsid w:val="00583D2C"/>
    <w:rsid w:val="005B13CE"/>
    <w:rsid w:val="005C482C"/>
    <w:rsid w:val="005E4E95"/>
    <w:rsid w:val="005F1177"/>
    <w:rsid w:val="006327CB"/>
    <w:rsid w:val="00673E28"/>
    <w:rsid w:val="006C0574"/>
    <w:rsid w:val="006C642C"/>
    <w:rsid w:val="00782898"/>
    <w:rsid w:val="007C709F"/>
    <w:rsid w:val="00802B74"/>
    <w:rsid w:val="008142AA"/>
    <w:rsid w:val="00815166"/>
    <w:rsid w:val="00843360"/>
    <w:rsid w:val="00894FE0"/>
    <w:rsid w:val="008C071C"/>
    <w:rsid w:val="008C2703"/>
    <w:rsid w:val="008C4804"/>
    <w:rsid w:val="008D43F9"/>
    <w:rsid w:val="008F12A4"/>
    <w:rsid w:val="00923FDB"/>
    <w:rsid w:val="00964444"/>
    <w:rsid w:val="00973DAB"/>
    <w:rsid w:val="009915A3"/>
    <w:rsid w:val="009948C1"/>
    <w:rsid w:val="00996E40"/>
    <w:rsid w:val="009B79CB"/>
    <w:rsid w:val="00A162C5"/>
    <w:rsid w:val="00A30395"/>
    <w:rsid w:val="00A36AA3"/>
    <w:rsid w:val="00A8761F"/>
    <w:rsid w:val="00AC1F58"/>
    <w:rsid w:val="00AD4B50"/>
    <w:rsid w:val="00AF78DB"/>
    <w:rsid w:val="00B2428C"/>
    <w:rsid w:val="00B4331C"/>
    <w:rsid w:val="00B62241"/>
    <w:rsid w:val="00BA142B"/>
    <w:rsid w:val="00C02139"/>
    <w:rsid w:val="00C06CCE"/>
    <w:rsid w:val="00C07316"/>
    <w:rsid w:val="00C203DE"/>
    <w:rsid w:val="00C254A3"/>
    <w:rsid w:val="00C318F7"/>
    <w:rsid w:val="00C3511F"/>
    <w:rsid w:val="00CA0801"/>
    <w:rsid w:val="00CB7386"/>
    <w:rsid w:val="00CF27C2"/>
    <w:rsid w:val="00D712D2"/>
    <w:rsid w:val="00D742CC"/>
    <w:rsid w:val="00DD0879"/>
    <w:rsid w:val="00DD3C1C"/>
    <w:rsid w:val="00DF03C8"/>
    <w:rsid w:val="00DF1BE6"/>
    <w:rsid w:val="00E34114"/>
    <w:rsid w:val="00E876BB"/>
    <w:rsid w:val="00EB03DD"/>
    <w:rsid w:val="00EC5016"/>
    <w:rsid w:val="00EF750B"/>
    <w:rsid w:val="00F168CB"/>
    <w:rsid w:val="00F8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568BEDC-A739-4AC0-9711-4B1965096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5166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2D5504"/>
    <w:pPr>
      <w:spacing w:after="0" w:line="240" w:lineRule="auto"/>
    </w:pPr>
    <w:rPr>
      <w:sz w:val="20"/>
      <w:szCs w:val="20"/>
    </w:rPr>
  </w:style>
  <w:style w:type="character" w:customStyle="1" w:styleId="a5">
    <w:name w:val="טקסט הערת שוליים תו"/>
    <w:basedOn w:val="a0"/>
    <w:link w:val="a4"/>
    <w:uiPriority w:val="99"/>
    <w:semiHidden/>
    <w:rsid w:val="002D550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2D5504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5B13CE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8">
    <w:name w:val="טקסט בלונים תו"/>
    <w:basedOn w:val="a0"/>
    <w:link w:val="a7"/>
    <w:uiPriority w:val="99"/>
    <w:semiHidden/>
    <w:rsid w:val="005B13CE"/>
    <w:rPr>
      <w:rFonts w:ascii="Tahoma" w:hAnsi="Tahoma" w:cs="Tahoma"/>
      <w:sz w:val="18"/>
      <w:szCs w:val="18"/>
    </w:rPr>
  </w:style>
  <w:style w:type="paragraph" w:styleId="a9">
    <w:name w:val="Revision"/>
    <w:hidden/>
    <w:uiPriority w:val="99"/>
    <w:semiHidden/>
    <w:rsid w:val="000C0254"/>
    <w:pPr>
      <w:spacing w:after="0" w:line="240" w:lineRule="auto"/>
    </w:pPr>
  </w:style>
  <w:style w:type="paragraph" w:styleId="aa">
    <w:name w:val="header"/>
    <w:basedOn w:val="a"/>
    <w:link w:val="ab"/>
    <w:uiPriority w:val="99"/>
    <w:unhideWhenUsed/>
    <w:rsid w:val="00EC50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b">
    <w:name w:val="כותרת עליונה תו"/>
    <w:basedOn w:val="a0"/>
    <w:link w:val="aa"/>
    <w:uiPriority w:val="99"/>
    <w:rsid w:val="00EC5016"/>
  </w:style>
  <w:style w:type="paragraph" w:styleId="ac">
    <w:name w:val="footer"/>
    <w:basedOn w:val="a"/>
    <w:link w:val="ad"/>
    <w:uiPriority w:val="99"/>
    <w:unhideWhenUsed/>
    <w:rsid w:val="00EC50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d">
    <w:name w:val="כותרת תחתונה תו"/>
    <w:basedOn w:val="a0"/>
    <w:link w:val="ac"/>
    <w:uiPriority w:val="99"/>
    <w:rsid w:val="00EC5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B2C71493DDBCBC4C84426C8AB681A806" ma:contentTypeVersion="" ma:contentTypeDescription="צור מסמך חדש." ma:contentTypeScope="" ma:versionID="a0668888f103ea7a4593c024994f8e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1F9DEF-7888-4478-94A5-E4EA148CEE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9793FF-9ADA-4176-8B5D-ABC907C6B000}"/>
</file>

<file path=customXml/itemProps3.xml><?xml version="1.0" encoding="utf-8"?>
<ds:datastoreItem xmlns:ds="http://schemas.openxmlformats.org/officeDocument/2006/customXml" ds:itemID="{1FDCE38C-E167-4584-BEDE-7A6D1908EF06}"/>
</file>

<file path=customXml/itemProps4.xml><?xml version="1.0" encoding="utf-8"?>
<ds:datastoreItem xmlns:ds="http://schemas.openxmlformats.org/officeDocument/2006/customXml" ds:itemID="{CC1A6C17-418A-4FAA-8774-3F15366BCF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Knesset</Company>
  <LinksUpToDate>false</LinksUpToDate>
  <CharactersWithSpaces>1928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טליה אידלס</dc:creator>
  <cp:keywords/>
  <dc:description/>
  <cp:lastModifiedBy>דנה הרש</cp:lastModifiedBy>
  <cp:revision>2</cp:revision>
  <cp:lastPrinted>2024-01-29T08:16:00Z</cp:lastPrinted>
  <dcterms:created xsi:type="dcterms:W3CDTF">2024-01-29T17:28:00Z</dcterms:created>
  <dcterms:modified xsi:type="dcterms:W3CDTF">2024-01-29T17:28:00Z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-559721816</vt:i4>
  </property>
  <property fmtid="{D5CDD505-2E9C-101B-9397-08002B2CF9AE}" pid="3" name="ContentTypeId">
    <vt:lpwstr>0x010100B2C71493DDBCBC4C84426C8AB681A806</vt:lpwstr>
  </property>
  <property fmtid="{D5CDD505-2E9C-101B-9397-08002B2CF9AE}" pid="4" name="SanhedrinDocumentType">
    <vt:r8>81</vt:r8>
  </property>
  <property fmtid="{D5CDD505-2E9C-101B-9397-08002B2CF9AE}" pid="5" name="SanhedrinItemID">
    <vt:r8>2213905</vt:r8>
  </property>
</Properties>
</file>