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7855" w:rsidRDefault="00815166" w:rsidP="00815166">
      <w:pPr>
        <w:spacing w:line="360" w:lineRule="auto"/>
        <w:jc w:val="right"/>
        <w:rPr>
          <w:rFonts w:ascii="David" w:hAnsi="David" w:cs="David"/>
          <w:b/>
          <w:bCs/>
          <w:sz w:val="24"/>
          <w:szCs w:val="24"/>
          <w:u w:val="single"/>
          <w:rtl/>
        </w:rPr>
      </w:pPr>
      <w:r>
        <w:rPr>
          <w:rFonts w:ascii="David" w:hAnsi="David" w:cs="David" w:hint="cs"/>
          <w:b/>
          <w:bCs/>
          <w:sz w:val="24"/>
          <w:szCs w:val="24"/>
          <w:u w:val="single"/>
          <w:rtl/>
        </w:rPr>
        <w:t>החלטה מס'</w:t>
      </w:r>
      <w:r w:rsidR="00E01DF5">
        <w:rPr>
          <w:rFonts w:ascii="David" w:hAnsi="David" w:cs="David" w:hint="cs"/>
          <w:b/>
          <w:bCs/>
          <w:sz w:val="24"/>
          <w:szCs w:val="24"/>
          <w:u w:val="single"/>
          <w:rtl/>
        </w:rPr>
        <w:t xml:space="preserve"> 16/25</w:t>
      </w:r>
    </w:p>
    <w:p w:rsidR="00815166" w:rsidRDefault="00815166" w:rsidP="00815166">
      <w:pPr>
        <w:spacing w:line="360" w:lineRule="auto"/>
        <w:jc w:val="center"/>
        <w:rPr>
          <w:rFonts w:ascii="David" w:hAnsi="David" w:cs="David"/>
          <w:sz w:val="24"/>
          <w:szCs w:val="24"/>
          <w:rtl/>
        </w:rPr>
      </w:pPr>
    </w:p>
    <w:p w:rsidR="00815166" w:rsidRPr="00776B19" w:rsidRDefault="00815166" w:rsidP="00E01DF5">
      <w:pPr>
        <w:spacing w:after="0" w:line="240" w:lineRule="auto"/>
        <w:jc w:val="center"/>
        <w:rPr>
          <w:rFonts w:ascii="David" w:hAnsi="David" w:cs="David"/>
          <w:b/>
          <w:bCs/>
          <w:sz w:val="26"/>
          <w:szCs w:val="26"/>
          <w:rtl/>
        </w:rPr>
      </w:pPr>
      <w:r w:rsidRPr="00776B19">
        <w:rPr>
          <w:rFonts w:ascii="David" w:hAnsi="David" w:cs="David" w:hint="cs"/>
          <w:b/>
          <w:bCs/>
          <w:sz w:val="26"/>
          <w:szCs w:val="26"/>
          <w:rtl/>
        </w:rPr>
        <w:t>החלטת ועדת האתיקה</w:t>
      </w:r>
    </w:p>
    <w:p w:rsidR="00815166" w:rsidRPr="00776B19" w:rsidRDefault="00815166" w:rsidP="00E01DF5">
      <w:pPr>
        <w:spacing w:after="0" w:line="240" w:lineRule="auto"/>
        <w:jc w:val="center"/>
        <w:rPr>
          <w:rFonts w:ascii="David" w:hAnsi="David" w:cs="David"/>
          <w:b/>
          <w:bCs/>
          <w:sz w:val="26"/>
          <w:szCs w:val="26"/>
          <w:u w:val="single"/>
          <w:rtl/>
        </w:rPr>
      </w:pPr>
      <w:bookmarkStart w:id="0" w:name="_GoBack"/>
      <w:r w:rsidRPr="00776B19">
        <w:rPr>
          <w:rFonts w:ascii="David" w:hAnsi="David" w:cs="David" w:hint="cs"/>
          <w:b/>
          <w:bCs/>
          <w:sz w:val="26"/>
          <w:szCs w:val="26"/>
          <w:u w:val="single"/>
          <w:rtl/>
        </w:rPr>
        <w:t>בעניין התבטאויות חברי הכנסת בעת מלחמה</w:t>
      </w:r>
      <w:bookmarkEnd w:id="0"/>
    </w:p>
    <w:p w:rsidR="00CF27C2" w:rsidRDefault="00CF27C2" w:rsidP="005B13CE">
      <w:pPr>
        <w:spacing w:line="240" w:lineRule="auto"/>
        <w:jc w:val="center"/>
        <w:rPr>
          <w:rFonts w:ascii="David" w:hAnsi="David" w:cs="David"/>
          <w:b/>
          <w:bCs/>
          <w:sz w:val="26"/>
          <w:szCs w:val="26"/>
          <w:u w:val="single"/>
          <w:rtl/>
        </w:rPr>
      </w:pPr>
    </w:p>
    <w:p w:rsidR="00A80593" w:rsidRPr="00776B19" w:rsidRDefault="00A80593" w:rsidP="005B13CE">
      <w:pPr>
        <w:spacing w:line="240" w:lineRule="auto"/>
        <w:jc w:val="center"/>
        <w:rPr>
          <w:rFonts w:ascii="David" w:hAnsi="David" w:cs="David"/>
          <w:b/>
          <w:bCs/>
          <w:sz w:val="26"/>
          <w:szCs w:val="26"/>
          <w:u w:val="single"/>
          <w:rtl/>
        </w:rPr>
      </w:pPr>
    </w:p>
    <w:p w:rsidR="00A80593" w:rsidRDefault="00A80593" w:rsidP="00A80593">
      <w:pPr>
        <w:spacing w:line="360" w:lineRule="auto"/>
        <w:jc w:val="both"/>
        <w:rPr>
          <w:rFonts w:ascii="David" w:hAnsi="David" w:cs="David"/>
          <w:sz w:val="24"/>
          <w:szCs w:val="24"/>
          <w:rtl/>
        </w:rPr>
      </w:pPr>
      <w:r>
        <w:rPr>
          <w:rFonts w:ascii="David" w:hAnsi="David" w:cs="David" w:hint="cs"/>
          <w:sz w:val="24"/>
          <w:szCs w:val="24"/>
          <w:rtl/>
        </w:rPr>
        <w:t>לנוכח מצב החירום והמלחמה שנכפתה על מדינת ישראל, ועם פתיחת כנס החורף, הוועדה מוצאת לנכון להביע עמדה עקרונית בעניין התנהלות והתבטאויות חברי הכנסת בעת מלחמה כאמור להלן:</w:t>
      </w:r>
    </w:p>
    <w:p w:rsidR="00A80593" w:rsidRPr="000C0254" w:rsidRDefault="00A80593" w:rsidP="00A80593">
      <w:pPr>
        <w:spacing w:line="360" w:lineRule="auto"/>
        <w:jc w:val="both"/>
        <w:rPr>
          <w:rFonts w:ascii="David" w:hAnsi="David" w:cs="David"/>
          <w:sz w:val="24"/>
          <w:szCs w:val="24"/>
          <w:rtl/>
        </w:rPr>
      </w:pPr>
      <w:r w:rsidRPr="000C0254">
        <w:rPr>
          <w:rFonts w:ascii="David" w:hAnsi="David" w:cs="David" w:hint="cs"/>
          <w:sz w:val="24"/>
          <w:szCs w:val="24"/>
          <w:rtl/>
        </w:rPr>
        <w:t xml:space="preserve">חופש הביטוי של חברי הכנסת, המהווה זכות יסוד ראשונה במעלה וחלק מהותי מחסינותם הפרלמנטרית, אינו בלתי מוגבל; גם כשביטוי חוסה תחת הגנתה של החסינות הפרלמנטרית, ובוודאי כשאינו חוסה תחתיה. התבטאות העולה כדי הפרתו של חיסיון מידע ביטחוני או מדיני רגיש, עלולה להוות עבירה פלילית, אך היא לעתים מהווה גם עבירה אתית. הדבר נכון גם להתבטאות מעל דוכן הכנסת וגם בדיון ועדה הפתוח לציבור. </w:t>
      </w:r>
    </w:p>
    <w:p w:rsidR="00A80593" w:rsidRDefault="00A80593" w:rsidP="00A80593">
      <w:pPr>
        <w:pStyle w:val="a3"/>
        <w:spacing w:line="360" w:lineRule="auto"/>
        <w:ind w:left="360"/>
        <w:jc w:val="both"/>
        <w:rPr>
          <w:rFonts w:ascii="David" w:hAnsi="David" w:cs="David"/>
          <w:sz w:val="24"/>
          <w:szCs w:val="24"/>
          <w:rtl/>
        </w:rPr>
      </w:pPr>
    </w:p>
    <w:p w:rsidR="00A80593" w:rsidRPr="00E34114" w:rsidRDefault="00A80593" w:rsidP="00A80593">
      <w:pPr>
        <w:spacing w:line="360" w:lineRule="auto"/>
        <w:jc w:val="both"/>
        <w:rPr>
          <w:rFonts w:ascii="David" w:hAnsi="David" w:cs="David"/>
          <w:b/>
          <w:bCs/>
          <w:sz w:val="24"/>
          <w:szCs w:val="24"/>
          <w:u w:val="single"/>
        </w:rPr>
      </w:pPr>
      <w:r w:rsidRPr="00E34114">
        <w:rPr>
          <w:rFonts w:ascii="David" w:hAnsi="David" w:cs="David" w:hint="cs"/>
          <w:b/>
          <w:bCs/>
          <w:sz w:val="24"/>
          <w:szCs w:val="24"/>
          <w:u w:val="single"/>
          <w:rtl/>
        </w:rPr>
        <w:t xml:space="preserve">עת לכל דיון ועת לכל התבטאות. </w:t>
      </w:r>
    </w:p>
    <w:p w:rsidR="00A80593" w:rsidRPr="000B07EC" w:rsidRDefault="00A80593" w:rsidP="00A80593">
      <w:pPr>
        <w:pStyle w:val="a3"/>
        <w:rPr>
          <w:rFonts w:ascii="David" w:hAnsi="David" w:cs="David"/>
          <w:sz w:val="24"/>
          <w:szCs w:val="24"/>
          <w:rtl/>
        </w:rPr>
      </w:pPr>
    </w:p>
    <w:p w:rsidR="00A80593" w:rsidRPr="006C0574" w:rsidRDefault="00A80593" w:rsidP="00A80593">
      <w:pPr>
        <w:spacing w:line="360" w:lineRule="auto"/>
        <w:jc w:val="both"/>
        <w:rPr>
          <w:rFonts w:ascii="David" w:hAnsi="David" w:cs="David"/>
          <w:sz w:val="24"/>
          <w:szCs w:val="24"/>
        </w:rPr>
      </w:pPr>
      <w:r w:rsidRPr="006C0574">
        <w:rPr>
          <w:rFonts w:ascii="David" w:hAnsi="David" w:cs="David" w:hint="cs"/>
          <w:sz w:val="24"/>
          <w:szCs w:val="24"/>
          <w:rtl/>
        </w:rPr>
        <w:t>בימי מלחמה, להתבטאויות של חברי הכנסת עלולות להתלוות משמעויות מרחיקות לכת עבור מדינת ישראל והציבור. חברי הכנסת נדרשים בתקופה מורכבת זו של שכול וכאב אזרחי וצבאי לצד לחימה, להיזהר בדבריהם ביתר שאת, לתת דוגמא אישית בהתנהגותם ובהתבטאויותיהם, לשמור על איפוק, למלא את שליחותם באחריות תוך מתן דוגמה אישית ולערבות חברתית הדדית.</w:t>
      </w:r>
    </w:p>
    <w:p w:rsidR="00A80593" w:rsidRPr="005B13CE" w:rsidRDefault="00A80593" w:rsidP="00A80593">
      <w:pPr>
        <w:pStyle w:val="a3"/>
        <w:rPr>
          <w:rFonts w:ascii="David" w:hAnsi="David" w:cs="David"/>
          <w:sz w:val="24"/>
          <w:szCs w:val="24"/>
          <w:rtl/>
        </w:rPr>
      </w:pPr>
    </w:p>
    <w:p w:rsidR="00A80593" w:rsidRPr="006C0574" w:rsidRDefault="00A80593" w:rsidP="00A80593">
      <w:pPr>
        <w:spacing w:line="360" w:lineRule="auto"/>
        <w:jc w:val="both"/>
        <w:rPr>
          <w:rFonts w:ascii="David" w:hAnsi="David" w:cs="David"/>
          <w:b/>
          <w:bCs/>
          <w:sz w:val="24"/>
          <w:szCs w:val="24"/>
        </w:rPr>
      </w:pPr>
      <w:r w:rsidRPr="006C0574">
        <w:rPr>
          <w:rFonts w:ascii="David" w:hAnsi="David" w:cs="David" w:hint="cs"/>
          <w:b/>
          <w:bCs/>
          <w:sz w:val="24"/>
          <w:szCs w:val="24"/>
          <w:rtl/>
        </w:rPr>
        <w:t xml:space="preserve">הוועדה מדגישה </w:t>
      </w:r>
      <w:r>
        <w:rPr>
          <w:rFonts w:ascii="David" w:hAnsi="David" w:cs="David" w:hint="cs"/>
          <w:b/>
          <w:bCs/>
          <w:sz w:val="24"/>
          <w:szCs w:val="24"/>
          <w:rtl/>
        </w:rPr>
        <w:t xml:space="preserve">ומתריעה </w:t>
      </w:r>
      <w:r w:rsidRPr="006C0574">
        <w:rPr>
          <w:rFonts w:ascii="David" w:hAnsi="David" w:cs="David" w:hint="cs"/>
          <w:b/>
          <w:bCs/>
          <w:sz w:val="24"/>
          <w:szCs w:val="24"/>
          <w:rtl/>
        </w:rPr>
        <w:t xml:space="preserve">כי לצד חופש הביטוי הפוליטי המוקנה לחברי הכנסת, </w:t>
      </w:r>
      <w:r>
        <w:rPr>
          <w:rFonts w:ascii="David" w:hAnsi="David" w:cs="David" w:hint="cs"/>
          <w:b/>
          <w:bCs/>
          <w:sz w:val="24"/>
          <w:szCs w:val="24"/>
          <w:rtl/>
        </w:rPr>
        <w:t>תהיה לה אפס סובלנות להתבטאויות קשות כמפורט להלן ו</w:t>
      </w:r>
      <w:r w:rsidRPr="006C0574">
        <w:rPr>
          <w:rFonts w:ascii="David" w:hAnsi="David" w:cs="David" w:hint="cs"/>
          <w:b/>
          <w:bCs/>
          <w:sz w:val="24"/>
          <w:szCs w:val="24"/>
          <w:rtl/>
        </w:rPr>
        <w:t>היא תפעל להטלת סנקציות משמעותיות</w:t>
      </w:r>
      <w:r>
        <w:rPr>
          <w:rFonts w:ascii="David" w:hAnsi="David" w:cs="David" w:hint="cs"/>
          <w:b/>
          <w:bCs/>
          <w:sz w:val="24"/>
          <w:szCs w:val="24"/>
          <w:rtl/>
        </w:rPr>
        <w:t xml:space="preserve"> לגביהן. להלן דוגמאות להתבטאויות כאמור, אך הוועדה שומרת לעצמה את הזכות לדון כמובן גם בהתבטאויות נוספות:</w:t>
      </w:r>
      <w:r w:rsidRPr="006C0574">
        <w:rPr>
          <w:rFonts w:ascii="David" w:hAnsi="David" w:cs="David" w:hint="cs"/>
          <w:b/>
          <w:bCs/>
          <w:sz w:val="24"/>
          <w:szCs w:val="24"/>
          <w:rtl/>
        </w:rPr>
        <w:t xml:space="preserve"> התבטאויות שעלולות לפגוע בהתמודדויות של מדינת ישראל ושל הציבור בימי הלחימה</w:t>
      </w:r>
      <w:r>
        <w:rPr>
          <w:rFonts w:ascii="David" w:hAnsi="David" w:cs="David" w:hint="cs"/>
          <w:b/>
          <w:bCs/>
          <w:sz w:val="24"/>
          <w:szCs w:val="24"/>
          <w:rtl/>
        </w:rPr>
        <w:t xml:space="preserve">; </w:t>
      </w:r>
      <w:r w:rsidRPr="006C0574">
        <w:rPr>
          <w:rFonts w:ascii="David" w:hAnsi="David" w:cs="David" w:hint="cs"/>
          <w:b/>
          <w:bCs/>
          <w:sz w:val="24"/>
          <w:szCs w:val="24"/>
          <w:rtl/>
        </w:rPr>
        <w:t>שעלולות להביא לפגיעה בביטחון מדינת ישראל, באזרחיה, או בחיילי צבא ההגנה לישראל; שמבזות או מכפישות את חיילי צבא ההגנה לישראל או אזרחי ישראל או שמשתמעת מהן קריאה לכך; שמתפרשות מה</w:t>
      </w:r>
      <w:r>
        <w:rPr>
          <w:rFonts w:ascii="David" w:hAnsi="David" w:cs="David" w:hint="cs"/>
          <w:b/>
          <w:bCs/>
          <w:sz w:val="24"/>
          <w:szCs w:val="24"/>
          <w:rtl/>
        </w:rPr>
        <w:t>ן</w:t>
      </w:r>
      <w:r w:rsidRPr="006C0574">
        <w:rPr>
          <w:rFonts w:ascii="David" w:hAnsi="David" w:cs="David" w:hint="cs"/>
          <w:b/>
          <w:bCs/>
          <w:sz w:val="24"/>
          <w:szCs w:val="24"/>
          <w:rtl/>
        </w:rPr>
        <w:t xml:space="preserve"> תמיכה או הצדקה של</w:t>
      </w:r>
      <w:r>
        <w:rPr>
          <w:rFonts w:ascii="David" w:hAnsi="David" w:cs="David" w:hint="cs"/>
          <w:b/>
          <w:bCs/>
          <w:sz w:val="24"/>
          <w:szCs w:val="24"/>
          <w:rtl/>
        </w:rPr>
        <w:t xml:space="preserve"> מעשי טרור, אלימות ושפיכות דמים.</w:t>
      </w:r>
      <w:r w:rsidRPr="006C0574">
        <w:rPr>
          <w:rFonts w:ascii="David" w:hAnsi="David" w:cs="David" w:hint="cs"/>
          <w:b/>
          <w:bCs/>
          <w:sz w:val="24"/>
          <w:szCs w:val="24"/>
          <w:rtl/>
        </w:rPr>
        <w:t xml:space="preserve"> </w:t>
      </w:r>
    </w:p>
    <w:p w:rsidR="00E01DF5" w:rsidRPr="00A80593" w:rsidRDefault="00E01DF5" w:rsidP="00190748">
      <w:pPr>
        <w:spacing w:line="360" w:lineRule="auto"/>
        <w:jc w:val="both"/>
        <w:rPr>
          <w:rFonts w:ascii="David" w:hAnsi="David" w:cs="David"/>
          <w:b/>
          <w:bCs/>
          <w:sz w:val="26"/>
          <w:szCs w:val="26"/>
          <w:rtl/>
        </w:rPr>
      </w:pPr>
    </w:p>
    <w:p w:rsidR="00E01DF5" w:rsidRPr="00776B19" w:rsidRDefault="00E01DF5" w:rsidP="00E01DF5">
      <w:pPr>
        <w:spacing w:after="0" w:line="240" w:lineRule="auto"/>
        <w:jc w:val="both"/>
        <w:rPr>
          <w:rFonts w:ascii="David" w:hAnsi="David" w:cs="David"/>
          <w:b/>
          <w:bCs/>
          <w:sz w:val="26"/>
          <w:szCs w:val="26"/>
          <w:rtl/>
        </w:rPr>
      </w:pPr>
    </w:p>
    <w:p w:rsidR="00E01DF5" w:rsidRPr="00776B19" w:rsidRDefault="00E01DF5" w:rsidP="00E01DF5">
      <w:pPr>
        <w:spacing w:after="0" w:line="240" w:lineRule="auto"/>
        <w:jc w:val="both"/>
        <w:rPr>
          <w:rFonts w:ascii="David" w:hAnsi="David" w:cs="David"/>
          <w:sz w:val="26"/>
          <w:szCs w:val="26"/>
          <w:rtl/>
        </w:rPr>
      </w:pPr>
      <w:r w:rsidRPr="00776B19">
        <w:rPr>
          <w:rFonts w:ascii="David" w:hAnsi="David" w:cs="David"/>
          <w:b/>
          <w:bCs/>
          <w:sz w:val="26"/>
          <w:szCs w:val="26"/>
          <w:rtl/>
        </w:rPr>
        <w:tab/>
      </w:r>
      <w:r w:rsidRPr="00776B19">
        <w:rPr>
          <w:rFonts w:ascii="David" w:hAnsi="David" w:cs="David"/>
          <w:b/>
          <w:bCs/>
          <w:sz w:val="26"/>
          <w:szCs w:val="26"/>
          <w:rtl/>
        </w:rPr>
        <w:tab/>
      </w:r>
      <w:r w:rsidRPr="00776B19">
        <w:rPr>
          <w:rFonts w:ascii="David" w:hAnsi="David" w:cs="David"/>
          <w:b/>
          <w:bCs/>
          <w:sz w:val="26"/>
          <w:szCs w:val="26"/>
          <w:rtl/>
        </w:rPr>
        <w:tab/>
      </w:r>
      <w:r w:rsidRPr="00776B19">
        <w:rPr>
          <w:rFonts w:ascii="David" w:hAnsi="David" w:cs="David"/>
          <w:b/>
          <w:bCs/>
          <w:sz w:val="26"/>
          <w:szCs w:val="26"/>
          <w:rtl/>
        </w:rPr>
        <w:tab/>
      </w:r>
      <w:r w:rsidRPr="00776B19">
        <w:rPr>
          <w:rFonts w:ascii="David" w:hAnsi="David" w:cs="David"/>
          <w:b/>
          <w:bCs/>
          <w:sz w:val="26"/>
          <w:szCs w:val="26"/>
          <w:rtl/>
        </w:rPr>
        <w:tab/>
      </w:r>
      <w:r w:rsidRPr="00776B19">
        <w:rPr>
          <w:rFonts w:ascii="David" w:hAnsi="David" w:cs="David"/>
          <w:b/>
          <w:bCs/>
          <w:sz w:val="26"/>
          <w:szCs w:val="26"/>
          <w:rtl/>
        </w:rPr>
        <w:tab/>
      </w:r>
      <w:r w:rsidRPr="00776B19">
        <w:rPr>
          <w:rFonts w:ascii="David" w:hAnsi="David" w:cs="David"/>
          <w:b/>
          <w:bCs/>
          <w:sz w:val="26"/>
          <w:szCs w:val="26"/>
          <w:rtl/>
        </w:rPr>
        <w:tab/>
      </w:r>
      <w:r w:rsidRPr="00776B19">
        <w:rPr>
          <w:rFonts w:ascii="David" w:hAnsi="David" w:cs="David"/>
          <w:b/>
          <w:bCs/>
          <w:sz w:val="26"/>
          <w:szCs w:val="26"/>
          <w:rtl/>
        </w:rPr>
        <w:tab/>
      </w:r>
      <w:r w:rsidRPr="00776B19">
        <w:rPr>
          <w:rFonts w:ascii="David" w:hAnsi="David" w:cs="David" w:hint="cs"/>
          <w:sz w:val="26"/>
          <w:szCs w:val="26"/>
          <w:rtl/>
        </w:rPr>
        <w:t>___________________</w:t>
      </w:r>
    </w:p>
    <w:p w:rsidR="00E01DF5" w:rsidRPr="00776B19" w:rsidRDefault="00E01DF5" w:rsidP="00E01DF5">
      <w:pPr>
        <w:spacing w:after="0" w:line="240" w:lineRule="auto"/>
        <w:jc w:val="both"/>
        <w:rPr>
          <w:rFonts w:ascii="David" w:hAnsi="David" w:cs="David"/>
          <w:sz w:val="26"/>
          <w:szCs w:val="26"/>
          <w:rtl/>
        </w:rPr>
      </w:pPr>
      <w:r w:rsidRPr="00776B19">
        <w:rPr>
          <w:rFonts w:ascii="David" w:hAnsi="David" w:cs="David"/>
          <w:sz w:val="26"/>
          <w:szCs w:val="26"/>
          <w:rtl/>
        </w:rPr>
        <w:tab/>
      </w:r>
      <w:r w:rsidRPr="00776B19">
        <w:rPr>
          <w:rFonts w:ascii="David" w:hAnsi="David" w:cs="David"/>
          <w:sz w:val="26"/>
          <w:szCs w:val="26"/>
          <w:rtl/>
        </w:rPr>
        <w:tab/>
      </w:r>
      <w:r w:rsidRPr="00776B19">
        <w:rPr>
          <w:rFonts w:ascii="David" w:hAnsi="David" w:cs="David"/>
          <w:sz w:val="26"/>
          <w:szCs w:val="26"/>
          <w:rtl/>
        </w:rPr>
        <w:tab/>
      </w:r>
      <w:r w:rsidRPr="00776B19">
        <w:rPr>
          <w:rFonts w:ascii="David" w:hAnsi="David" w:cs="David"/>
          <w:sz w:val="26"/>
          <w:szCs w:val="26"/>
          <w:rtl/>
        </w:rPr>
        <w:tab/>
      </w:r>
      <w:r w:rsidRPr="00776B19">
        <w:rPr>
          <w:rFonts w:ascii="David" w:hAnsi="David" w:cs="David"/>
          <w:sz w:val="26"/>
          <w:szCs w:val="26"/>
          <w:rtl/>
        </w:rPr>
        <w:tab/>
      </w:r>
      <w:r w:rsidRPr="00776B19">
        <w:rPr>
          <w:rFonts w:ascii="David" w:hAnsi="David" w:cs="David"/>
          <w:sz w:val="26"/>
          <w:szCs w:val="26"/>
          <w:rtl/>
        </w:rPr>
        <w:tab/>
      </w:r>
      <w:r w:rsidRPr="00776B19">
        <w:rPr>
          <w:rFonts w:ascii="David" w:hAnsi="David" w:cs="David"/>
          <w:sz w:val="26"/>
          <w:szCs w:val="26"/>
          <w:rtl/>
        </w:rPr>
        <w:tab/>
      </w:r>
      <w:r w:rsidRPr="00776B19">
        <w:rPr>
          <w:rFonts w:ascii="David" w:hAnsi="David" w:cs="David"/>
          <w:sz w:val="26"/>
          <w:szCs w:val="26"/>
          <w:rtl/>
        </w:rPr>
        <w:tab/>
      </w:r>
      <w:r w:rsidRPr="00776B19">
        <w:rPr>
          <w:rFonts w:ascii="David" w:hAnsi="David" w:cs="David" w:hint="cs"/>
          <w:sz w:val="26"/>
          <w:szCs w:val="26"/>
          <w:rtl/>
        </w:rPr>
        <w:t xml:space="preserve">  חבר הכנסת ינון אזולאי</w:t>
      </w:r>
    </w:p>
    <w:p w:rsidR="00E01DF5" w:rsidRPr="00776B19" w:rsidRDefault="00E01DF5" w:rsidP="00E01DF5">
      <w:pPr>
        <w:spacing w:after="0" w:line="240" w:lineRule="auto"/>
        <w:jc w:val="both"/>
        <w:rPr>
          <w:rFonts w:ascii="David" w:hAnsi="David" w:cs="David"/>
          <w:sz w:val="26"/>
          <w:szCs w:val="26"/>
          <w:rtl/>
        </w:rPr>
      </w:pPr>
      <w:r w:rsidRPr="00776B19">
        <w:rPr>
          <w:rFonts w:ascii="David" w:hAnsi="David" w:cs="David"/>
          <w:sz w:val="26"/>
          <w:szCs w:val="26"/>
          <w:rtl/>
        </w:rPr>
        <w:tab/>
      </w:r>
      <w:r w:rsidRPr="00776B19">
        <w:rPr>
          <w:rFonts w:ascii="David" w:hAnsi="David" w:cs="David"/>
          <w:sz w:val="26"/>
          <w:szCs w:val="26"/>
          <w:rtl/>
        </w:rPr>
        <w:tab/>
      </w:r>
      <w:r w:rsidRPr="00776B19">
        <w:rPr>
          <w:rFonts w:ascii="David" w:hAnsi="David" w:cs="David"/>
          <w:sz w:val="26"/>
          <w:szCs w:val="26"/>
          <w:rtl/>
        </w:rPr>
        <w:tab/>
      </w:r>
      <w:r w:rsidRPr="00776B19">
        <w:rPr>
          <w:rFonts w:ascii="David" w:hAnsi="David" w:cs="David"/>
          <w:sz w:val="26"/>
          <w:szCs w:val="26"/>
          <w:rtl/>
        </w:rPr>
        <w:tab/>
      </w:r>
      <w:r w:rsidRPr="00776B19">
        <w:rPr>
          <w:rFonts w:ascii="David" w:hAnsi="David" w:cs="David"/>
          <w:sz w:val="26"/>
          <w:szCs w:val="26"/>
          <w:rtl/>
        </w:rPr>
        <w:tab/>
      </w:r>
      <w:r w:rsidRPr="00776B19">
        <w:rPr>
          <w:rFonts w:ascii="David" w:hAnsi="David" w:cs="David"/>
          <w:sz w:val="26"/>
          <w:szCs w:val="26"/>
          <w:rtl/>
        </w:rPr>
        <w:tab/>
      </w:r>
      <w:r w:rsidRPr="00776B19">
        <w:rPr>
          <w:rFonts w:ascii="David" w:hAnsi="David" w:cs="David"/>
          <w:sz w:val="26"/>
          <w:szCs w:val="26"/>
          <w:rtl/>
        </w:rPr>
        <w:tab/>
      </w:r>
      <w:r w:rsidRPr="00776B19">
        <w:rPr>
          <w:rFonts w:ascii="David" w:hAnsi="David" w:cs="David"/>
          <w:sz w:val="26"/>
          <w:szCs w:val="26"/>
          <w:rtl/>
        </w:rPr>
        <w:tab/>
      </w:r>
      <w:r w:rsidRPr="00776B19">
        <w:rPr>
          <w:rFonts w:ascii="David" w:hAnsi="David" w:cs="David" w:hint="cs"/>
          <w:sz w:val="26"/>
          <w:szCs w:val="26"/>
          <w:rtl/>
        </w:rPr>
        <w:t>יושב ראש ועדת האתיקה</w:t>
      </w:r>
    </w:p>
    <w:p w:rsidR="00E01DF5" w:rsidRPr="00776B19" w:rsidRDefault="00E01DF5" w:rsidP="00E01DF5">
      <w:pPr>
        <w:spacing w:after="0" w:line="240" w:lineRule="auto"/>
        <w:jc w:val="both"/>
        <w:rPr>
          <w:rFonts w:ascii="David" w:hAnsi="David" w:cs="David"/>
          <w:sz w:val="26"/>
          <w:szCs w:val="26"/>
        </w:rPr>
      </w:pPr>
    </w:p>
    <w:p w:rsidR="00D712D2" w:rsidRPr="00776B19" w:rsidRDefault="00D712D2" w:rsidP="00D712D2">
      <w:pPr>
        <w:pStyle w:val="a3"/>
        <w:rPr>
          <w:rFonts w:ascii="David" w:hAnsi="David" w:cs="David"/>
          <w:sz w:val="26"/>
          <w:szCs w:val="26"/>
          <w:rtl/>
        </w:rPr>
      </w:pPr>
    </w:p>
    <w:p w:rsidR="00D712D2" w:rsidRPr="00776B19" w:rsidRDefault="00D712D2" w:rsidP="00D712D2">
      <w:pPr>
        <w:pStyle w:val="a3"/>
        <w:spacing w:line="360" w:lineRule="auto"/>
        <w:ind w:left="360"/>
        <w:jc w:val="both"/>
        <w:rPr>
          <w:rFonts w:ascii="David" w:hAnsi="David" w:cs="David"/>
          <w:sz w:val="26"/>
          <w:szCs w:val="26"/>
          <w:rtl/>
        </w:rPr>
      </w:pPr>
    </w:p>
    <w:sectPr w:rsidR="00D712D2" w:rsidRPr="00776B19" w:rsidSect="00E01DF5">
      <w:pgSz w:w="11906" w:h="16838"/>
      <w:pgMar w:top="993" w:right="1800" w:bottom="709"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353F" w:rsidRDefault="00C8353F" w:rsidP="002D5504">
      <w:pPr>
        <w:spacing w:after="0" w:line="240" w:lineRule="auto"/>
      </w:pPr>
      <w:r>
        <w:separator/>
      </w:r>
    </w:p>
  </w:endnote>
  <w:endnote w:type="continuationSeparator" w:id="0">
    <w:p w:rsidR="00C8353F" w:rsidRDefault="00C8353F" w:rsidP="002D55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353F" w:rsidRDefault="00C8353F" w:rsidP="002D5504">
      <w:pPr>
        <w:spacing w:after="0" w:line="240" w:lineRule="auto"/>
      </w:pPr>
      <w:r>
        <w:separator/>
      </w:r>
    </w:p>
  </w:footnote>
  <w:footnote w:type="continuationSeparator" w:id="0">
    <w:p w:rsidR="00C8353F" w:rsidRDefault="00C8353F" w:rsidP="002D550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0648ED"/>
    <w:multiLevelType w:val="hybridMultilevel"/>
    <w:tmpl w:val="358EE30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166"/>
    <w:rsid w:val="00001980"/>
    <w:rsid w:val="000B07EC"/>
    <w:rsid w:val="000C0254"/>
    <w:rsid w:val="00190748"/>
    <w:rsid w:val="001B0730"/>
    <w:rsid w:val="00211164"/>
    <w:rsid w:val="00222B48"/>
    <w:rsid w:val="0022558B"/>
    <w:rsid w:val="00231B00"/>
    <w:rsid w:val="002541F1"/>
    <w:rsid w:val="002A6942"/>
    <w:rsid w:val="002C7855"/>
    <w:rsid w:val="002D5504"/>
    <w:rsid w:val="002E21CB"/>
    <w:rsid w:val="002E79BB"/>
    <w:rsid w:val="00301207"/>
    <w:rsid w:val="003E3754"/>
    <w:rsid w:val="003F63BD"/>
    <w:rsid w:val="00487752"/>
    <w:rsid w:val="00490BE0"/>
    <w:rsid w:val="004E4B7D"/>
    <w:rsid w:val="00537DEE"/>
    <w:rsid w:val="005561EC"/>
    <w:rsid w:val="005B13CE"/>
    <w:rsid w:val="005C482C"/>
    <w:rsid w:val="006C0574"/>
    <w:rsid w:val="006C642C"/>
    <w:rsid w:val="00776B19"/>
    <w:rsid w:val="00802B74"/>
    <w:rsid w:val="00815166"/>
    <w:rsid w:val="00843360"/>
    <w:rsid w:val="008C071C"/>
    <w:rsid w:val="008C4804"/>
    <w:rsid w:val="008F12A4"/>
    <w:rsid w:val="00A80593"/>
    <w:rsid w:val="00A8761F"/>
    <w:rsid w:val="00AD4B50"/>
    <w:rsid w:val="00B4331C"/>
    <w:rsid w:val="00B50476"/>
    <w:rsid w:val="00C06CCE"/>
    <w:rsid w:val="00C07316"/>
    <w:rsid w:val="00C8353F"/>
    <w:rsid w:val="00CF27C2"/>
    <w:rsid w:val="00D712D2"/>
    <w:rsid w:val="00E01DF5"/>
    <w:rsid w:val="00E376AA"/>
    <w:rsid w:val="00E876B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68BEDC-A739-4AC0-9711-4B1965096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5166"/>
    <w:pPr>
      <w:ind w:left="720"/>
      <w:contextualSpacing/>
    </w:pPr>
  </w:style>
  <w:style w:type="paragraph" w:styleId="a4">
    <w:name w:val="footnote text"/>
    <w:basedOn w:val="a"/>
    <w:link w:val="a5"/>
    <w:uiPriority w:val="99"/>
    <w:semiHidden/>
    <w:unhideWhenUsed/>
    <w:rsid w:val="002D5504"/>
    <w:pPr>
      <w:spacing w:after="0" w:line="240" w:lineRule="auto"/>
    </w:pPr>
    <w:rPr>
      <w:sz w:val="20"/>
      <w:szCs w:val="20"/>
    </w:rPr>
  </w:style>
  <w:style w:type="character" w:customStyle="1" w:styleId="a5">
    <w:name w:val="טקסט הערת שוליים תו"/>
    <w:basedOn w:val="a0"/>
    <w:link w:val="a4"/>
    <w:uiPriority w:val="99"/>
    <w:semiHidden/>
    <w:rsid w:val="002D5504"/>
    <w:rPr>
      <w:sz w:val="20"/>
      <w:szCs w:val="20"/>
    </w:rPr>
  </w:style>
  <w:style w:type="character" w:styleId="a6">
    <w:name w:val="footnote reference"/>
    <w:basedOn w:val="a0"/>
    <w:uiPriority w:val="99"/>
    <w:semiHidden/>
    <w:unhideWhenUsed/>
    <w:rsid w:val="002D5504"/>
    <w:rPr>
      <w:vertAlign w:val="superscript"/>
    </w:rPr>
  </w:style>
  <w:style w:type="paragraph" w:styleId="a7">
    <w:name w:val="Balloon Text"/>
    <w:basedOn w:val="a"/>
    <w:link w:val="a8"/>
    <w:uiPriority w:val="99"/>
    <w:semiHidden/>
    <w:unhideWhenUsed/>
    <w:rsid w:val="005B13CE"/>
    <w:pPr>
      <w:spacing w:after="0" w:line="240" w:lineRule="auto"/>
    </w:pPr>
    <w:rPr>
      <w:rFonts w:ascii="Tahoma" w:hAnsi="Tahoma" w:cs="Tahoma"/>
      <w:sz w:val="18"/>
      <w:szCs w:val="18"/>
    </w:rPr>
  </w:style>
  <w:style w:type="character" w:customStyle="1" w:styleId="a8">
    <w:name w:val="טקסט בלונים תו"/>
    <w:basedOn w:val="a0"/>
    <w:link w:val="a7"/>
    <w:uiPriority w:val="99"/>
    <w:semiHidden/>
    <w:rsid w:val="005B13CE"/>
    <w:rPr>
      <w:rFonts w:ascii="Tahoma" w:hAnsi="Tahoma" w:cs="Tahoma"/>
      <w:sz w:val="18"/>
      <w:szCs w:val="18"/>
    </w:rPr>
  </w:style>
  <w:style w:type="paragraph" w:styleId="a9">
    <w:name w:val="Revision"/>
    <w:hidden/>
    <w:uiPriority w:val="99"/>
    <w:semiHidden/>
    <w:rsid w:val="000C025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מסמך" ma:contentTypeID="0x010100B2C71493DDBCBC4C84426C8AB681A806" ma:contentTypeVersion="" ma:contentTypeDescription="צור מסמך חדש." ma:contentTypeScope="" ma:versionID="a0668888f103ea7a4593c024994f8e8a">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82C769-450C-445D-9D75-B13CA0411E0B}">
  <ds:schemaRefs>
    <ds:schemaRef ds:uri="http://schemas.openxmlformats.org/officeDocument/2006/bibliography"/>
  </ds:schemaRefs>
</ds:datastoreItem>
</file>

<file path=customXml/itemProps2.xml><?xml version="1.0" encoding="utf-8"?>
<ds:datastoreItem xmlns:ds="http://schemas.openxmlformats.org/officeDocument/2006/customXml" ds:itemID="{4062D6E6-C766-4299-8472-AA8E9CA0AAF9}"/>
</file>

<file path=customXml/itemProps3.xml><?xml version="1.0" encoding="utf-8"?>
<ds:datastoreItem xmlns:ds="http://schemas.openxmlformats.org/officeDocument/2006/customXml" ds:itemID="{3D028E83-F973-433A-9CD2-FF688B5A566F}"/>
</file>

<file path=customXml/itemProps4.xml><?xml version="1.0" encoding="utf-8"?>
<ds:datastoreItem xmlns:ds="http://schemas.openxmlformats.org/officeDocument/2006/customXml" ds:itemID="{7C98FD6C-B0E8-4E09-9482-CF9CF7591729}"/>
</file>

<file path=docProps/app.xml><?xml version="1.0" encoding="utf-8"?>
<Properties xmlns="http://schemas.openxmlformats.org/officeDocument/2006/extended-properties" xmlns:vt="http://schemas.openxmlformats.org/officeDocument/2006/docPropsVTypes">
  <Template>Normal</Template>
  <TotalTime>0</TotalTime>
  <Pages>1</Pages>
  <Words>241</Words>
  <Characters>1374</Characters>
  <Application>Microsoft Office Word</Application>
  <DocSecurity>0</DocSecurity>
  <Lines>11</Lines>
  <Paragraphs>3</Paragraphs>
  <ScaleCrop>false</ScaleCrop>
  <HeadingPairs>
    <vt:vector size="2" baseType="variant">
      <vt:variant>
        <vt:lpstr>שם</vt:lpstr>
      </vt:variant>
      <vt:variant>
        <vt:i4>1</vt:i4>
      </vt:variant>
    </vt:vector>
  </HeadingPairs>
  <TitlesOfParts>
    <vt:vector size="1" baseType="lpstr">
      <vt:lpstr/>
    </vt:vector>
  </TitlesOfParts>
  <Company>Knesset</Company>
  <LinksUpToDate>false</LinksUpToDate>
  <CharactersWithSpaces>1612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טליה אידלס</dc:creator>
  <cp:keywords/>
  <dc:description/>
  <cp:lastModifiedBy>דנה הרש</cp:lastModifiedBy>
  <cp:revision>2</cp:revision>
  <cp:lastPrinted>2023-10-18T14:38:00Z</cp:lastPrinted>
  <dcterms:created xsi:type="dcterms:W3CDTF">2023-10-18T15:13:00Z</dcterms:created>
  <dcterms:modified xsi:type="dcterms:W3CDTF">2023-10-18T15:13:00Z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0x010100B2C71493DDBCBC4C84426C8AB681A806</vt:lpwstr>
  </property>
  <property fmtid="{D5CDD505-2E9C-101B-9397-08002B2CF9AE}" pid="3" name="SanhedrinDocumentType">
    <vt:r8>81</vt:r8>
  </property>
  <property fmtid="{D5CDD505-2E9C-101B-9397-08002B2CF9AE}" pid="4" name="SanhedrinItemID">
    <vt:r8>2209778</vt:r8>
  </property>
</Properties>
</file>