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ABB" w:rsidRPr="00BA4B9B" w:rsidRDefault="00237C11">
      <w:pPr>
        <w:jc w:val="right"/>
        <w:rPr>
          <w:rFonts w:ascii="David" w:eastAsia="David" w:hAnsi="David" w:cs="David"/>
          <w:bCs/>
          <w:sz w:val="24"/>
          <w:szCs w:val="24"/>
          <w:u w:val="single"/>
        </w:rPr>
      </w:pPr>
      <w:r w:rsidRPr="00BA4B9B">
        <w:rPr>
          <w:rFonts w:ascii="David" w:eastAsia="David" w:hAnsi="David" w:cs="David"/>
          <w:bCs/>
          <w:sz w:val="24"/>
          <w:szCs w:val="24"/>
          <w:u w:val="single"/>
          <w:rtl/>
        </w:rPr>
        <w:t>החלטה מס'</w:t>
      </w:r>
      <w:r w:rsidR="00BA4B9B" w:rsidRPr="00BA4B9B">
        <w:rPr>
          <w:rFonts w:ascii="David" w:eastAsia="David" w:hAnsi="David" w:cs="David" w:hint="cs"/>
          <w:bCs/>
          <w:sz w:val="24"/>
          <w:szCs w:val="24"/>
          <w:u w:val="single"/>
          <w:rtl/>
        </w:rPr>
        <w:t xml:space="preserve"> 15/25</w:t>
      </w:r>
    </w:p>
    <w:p w:rsidR="004F5ABB" w:rsidRDefault="004F5ABB">
      <w:pPr>
        <w:jc w:val="center"/>
        <w:rPr>
          <w:rFonts w:ascii="David" w:eastAsia="David" w:hAnsi="David" w:cs="David"/>
          <w:b/>
          <w:sz w:val="24"/>
          <w:szCs w:val="24"/>
        </w:rPr>
      </w:pPr>
    </w:p>
    <w:p w:rsidR="004F5ABB" w:rsidRPr="00BA4B9B" w:rsidRDefault="00237C11" w:rsidP="00BA4B9B">
      <w:pPr>
        <w:spacing w:after="0" w:line="240" w:lineRule="auto"/>
        <w:jc w:val="center"/>
        <w:rPr>
          <w:rFonts w:ascii="David" w:eastAsia="David" w:hAnsi="David" w:cs="David"/>
          <w:bCs/>
          <w:sz w:val="28"/>
          <w:szCs w:val="28"/>
        </w:rPr>
      </w:pPr>
      <w:r w:rsidRPr="00BA4B9B">
        <w:rPr>
          <w:rFonts w:ascii="David" w:eastAsia="David" w:hAnsi="David" w:cs="David"/>
          <w:bCs/>
          <w:sz w:val="28"/>
          <w:szCs w:val="28"/>
          <w:rtl/>
        </w:rPr>
        <w:t>החלטת ועדת האתיקה</w:t>
      </w:r>
    </w:p>
    <w:p w:rsidR="004F5ABB" w:rsidRPr="00BA4B9B" w:rsidRDefault="00237C11" w:rsidP="00BA4B9B">
      <w:pPr>
        <w:spacing w:after="0" w:line="240" w:lineRule="auto"/>
        <w:jc w:val="center"/>
        <w:rPr>
          <w:rFonts w:ascii="David" w:eastAsia="David" w:hAnsi="David" w:cs="David"/>
          <w:bCs/>
          <w:sz w:val="28"/>
          <w:szCs w:val="28"/>
          <w:u w:val="single"/>
          <w:rtl/>
        </w:rPr>
      </w:pPr>
      <w:bookmarkStart w:id="0" w:name="_GoBack"/>
      <w:r w:rsidRPr="00BA4B9B">
        <w:rPr>
          <w:rFonts w:ascii="David" w:eastAsia="David" w:hAnsi="David" w:cs="David"/>
          <w:bCs/>
          <w:sz w:val="28"/>
          <w:szCs w:val="28"/>
          <w:u w:val="single"/>
          <w:rtl/>
        </w:rPr>
        <w:t>בעניין פעילותם של חברי הכנסת בגיוס תרומות ובהתנדבות בעת הכרזת מלחמה</w:t>
      </w:r>
    </w:p>
    <w:bookmarkEnd w:id="0"/>
    <w:p w:rsidR="00BA4B9B" w:rsidRPr="00237C11" w:rsidRDefault="00BA4B9B" w:rsidP="00BA4B9B">
      <w:pPr>
        <w:spacing w:after="0" w:line="240" w:lineRule="auto"/>
        <w:jc w:val="center"/>
        <w:rPr>
          <w:rFonts w:ascii="David" w:eastAsia="David" w:hAnsi="David" w:cs="David"/>
          <w:b/>
          <w:sz w:val="24"/>
          <w:szCs w:val="24"/>
          <w:rtl/>
        </w:rPr>
      </w:pPr>
      <w:r w:rsidRPr="00237C11">
        <w:rPr>
          <w:rFonts w:ascii="David" w:eastAsia="David" w:hAnsi="David" w:cs="David" w:hint="cs"/>
          <w:b/>
          <w:sz w:val="24"/>
          <w:szCs w:val="24"/>
          <w:rtl/>
        </w:rPr>
        <w:t xml:space="preserve">מיום </w:t>
      </w:r>
      <w:r w:rsidR="00237C11" w:rsidRPr="00237C11">
        <w:rPr>
          <w:rFonts w:ascii="David" w:eastAsia="David" w:hAnsi="David" w:cs="David" w:hint="cs"/>
          <w:b/>
          <w:sz w:val="24"/>
          <w:szCs w:val="24"/>
          <w:rtl/>
        </w:rPr>
        <w:t xml:space="preserve">כ"ג בתשרי </w:t>
      </w:r>
      <w:proofErr w:type="spellStart"/>
      <w:r w:rsidR="00237C11" w:rsidRPr="00237C11">
        <w:rPr>
          <w:rFonts w:ascii="David" w:eastAsia="David" w:hAnsi="David" w:cs="David" w:hint="cs"/>
          <w:b/>
          <w:sz w:val="24"/>
          <w:szCs w:val="24"/>
          <w:rtl/>
        </w:rPr>
        <w:t>התשפ"ד</w:t>
      </w:r>
      <w:proofErr w:type="spellEnd"/>
      <w:r w:rsidR="00237C11" w:rsidRPr="00237C11">
        <w:rPr>
          <w:rFonts w:ascii="David" w:eastAsia="David" w:hAnsi="David" w:cs="David" w:hint="cs"/>
          <w:b/>
          <w:sz w:val="24"/>
          <w:szCs w:val="24"/>
          <w:rtl/>
        </w:rPr>
        <w:t xml:space="preserve"> </w:t>
      </w:r>
      <w:r w:rsidR="00237C11" w:rsidRPr="00237C11">
        <w:rPr>
          <w:rFonts w:ascii="David" w:eastAsia="David" w:hAnsi="David" w:cs="David"/>
          <w:b/>
          <w:sz w:val="24"/>
          <w:szCs w:val="24"/>
          <w:rtl/>
        </w:rPr>
        <w:t>–</w:t>
      </w:r>
      <w:r w:rsidR="00237C11" w:rsidRPr="00237C11">
        <w:rPr>
          <w:rFonts w:ascii="David" w:eastAsia="David" w:hAnsi="David" w:cs="David" w:hint="cs"/>
          <w:b/>
          <w:sz w:val="24"/>
          <w:szCs w:val="24"/>
          <w:rtl/>
        </w:rPr>
        <w:t xml:space="preserve"> 8 באוקטובר 2023</w:t>
      </w:r>
    </w:p>
    <w:p w:rsidR="00BA4B9B" w:rsidRDefault="00BA4B9B" w:rsidP="00BA4B9B">
      <w:pPr>
        <w:spacing w:after="0" w:line="240" w:lineRule="auto"/>
        <w:jc w:val="center"/>
        <w:rPr>
          <w:rFonts w:ascii="David" w:eastAsia="David" w:hAnsi="David" w:cs="David"/>
          <w:b/>
          <w:sz w:val="24"/>
          <w:szCs w:val="24"/>
          <w:u w:val="single"/>
        </w:rPr>
      </w:pPr>
    </w:p>
    <w:p w:rsidR="00237C11" w:rsidRPr="00237C11" w:rsidRDefault="00237C11">
      <w:pPr>
        <w:spacing w:line="360" w:lineRule="auto"/>
        <w:jc w:val="both"/>
        <w:rPr>
          <w:rFonts w:ascii="David" w:eastAsia="David" w:hAnsi="David" w:cs="David"/>
          <w:sz w:val="16"/>
          <w:szCs w:val="16"/>
          <w:rtl/>
        </w:rPr>
      </w:pPr>
    </w:p>
    <w:p w:rsidR="004F5ABB" w:rsidRPr="00BA4B9B" w:rsidRDefault="00237C11">
      <w:pPr>
        <w:spacing w:line="360" w:lineRule="auto"/>
        <w:jc w:val="both"/>
        <w:rPr>
          <w:rFonts w:ascii="David" w:eastAsia="David" w:hAnsi="David" w:cs="David"/>
          <w:sz w:val="26"/>
          <w:szCs w:val="26"/>
        </w:rPr>
      </w:pPr>
      <w:r w:rsidRPr="00BA4B9B">
        <w:rPr>
          <w:rFonts w:ascii="David" w:eastAsia="David" w:hAnsi="David" w:cs="David"/>
          <w:sz w:val="26"/>
          <w:szCs w:val="26"/>
          <w:rtl/>
        </w:rPr>
        <w:t xml:space="preserve">בעקבות ההכרזה של ועדת השרים על מלחמה בהתאם לסעיף 40 לחוק יסוד: הממשלה, </w:t>
      </w:r>
      <w:proofErr w:type="spellStart"/>
      <w:r w:rsidRPr="00BA4B9B">
        <w:rPr>
          <w:rFonts w:ascii="David" w:eastAsia="David" w:hAnsi="David" w:cs="David"/>
          <w:sz w:val="26"/>
          <w:szCs w:val="26"/>
          <w:rtl/>
        </w:rPr>
        <w:t>בענין</w:t>
      </w:r>
      <w:proofErr w:type="spellEnd"/>
      <w:r w:rsidRPr="00BA4B9B">
        <w:rPr>
          <w:rFonts w:ascii="David" w:eastAsia="David" w:hAnsi="David" w:cs="David"/>
          <w:sz w:val="26"/>
          <w:szCs w:val="26"/>
          <w:rtl/>
        </w:rPr>
        <w:t xml:space="preserve"> מלחמת "חרבות ברזל", וההכרזה של שר הביטחון על מצב מיוחד בעורף,  ולנוכח פנייתם של חברי כנסת רבים המבקשים לפעול ככל יכולתם למען המערכה, ועדת האתיקה קובעת את הדברים הבאים כהחלטה זמנית לתקופה שבה תחול הכרזת המלחמה והמצב המיוחד בעורף: </w:t>
      </w:r>
    </w:p>
    <w:p w:rsidR="004F5ABB" w:rsidRPr="00BA4B9B" w:rsidRDefault="00237C11">
      <w:pPr>
        <w:numPr>
          <w:ilvl w:val="0"/>
          <w:numId w:val="1"/>
        </w:numPr>
        <w:pBdr>
          <w:top w:val="nil"/>
          <w:left w:val="nil"/>
          <w:bottom w:val="nil"/>
          <w:right w:val="nil"/>
          <w:between w:val="nil"/>
        </w:pBdr>
        <w:spacing w:after="0" w:line="360" w:lineRule="auto"/>
        <w:jc w:val="both"/>
        <w:rPr>
          <w:rFonts w:ascii="David" w:eastAsia="David" w:hAnsi="David" w:cs="David"/>
          <w:color w:val="000000"/>
          <w:sz w:val="26"/>
          <w:szCs w:val="26"/>
        </w:rPr>
      </w:pPr>
      <w:r w:rsidRPr="00BA4B9B">
        <w:rPr>
          <w:rFonts w:ascii="David" w:eastAsia="David" w:hAnsi="David" w:cs="David"/>
          <w:color w:val="000000"/>
          <w:sz w:val="26"/>
          <w:szCs w:val="26"/>
          <w:rtl/>
        </w:rPr>
        <w:t xml:space="preserve">ככלל, עמדתה של ועדת האתיקה, כמו גם של היועצת המשפטית לכנסת, היא שעל חברי הכנסת להימנע מקריאה לתרומה לגופים מסוימים, גם כאשר מדובר בגורמים הפועלים ללא מטרות רווח. </w:t>
      </w:r>
    </w:p>
    <w:p w:rsidR="004F5ABB" w:rsidRPr="00BA4B9B" w:rsidRDefault="00237C11">
      <w:pPr>
        <w:numPr>
          <w:ilvl w:val="0"/>
          <w:numId w:val="1"/>
        </w:numPr>
        <w:pBdr>
          <w:top w:val="nil"/>
          <w:left w:val="nil"/>
          <w:bottom w:val="nil"/>
          <w:right w:val="nil"/>
          <w:between w:val="nil"/>
        </w:pBdr>
        <w:spacing w:after="0" w:line="360" w:lineRule="auto"/>
        <w:jc w:val="both"/>
        <w:rPr>
          <w:rFonts w:ascii="David" w:eastAsia="David" w:hAnsi="David" w:cs="David"/>
          <w:color w:val="000000"/>
          <w:sz w:val="26"/>
          <w:szCs w:val="26"/>
        </w:rPr>
      </w:pPr>
      <w:r w:rsidRPr="00BA4B9B">
        <w:rPr>
          <w:rFonts w:ascii="David" w:eastAsia="David" w:hAnsi="David" w:cs="David"/>
          <w:color w:val="000000"/>
          <w:sz w:val="26"/>
          <w:szCs w:val="26"/>
          <w:rtl/>
        </w:rPr>
        <w:t xml:space="preserve">אף על פי כן, בעת הזו, באופן זמני ולאורך המלחמה, הוועדה מאשרת לחברי הכנסת לפעול לשם סיוע הן באמצעות הפניה וחיבור בין תושבים הזקוקים לציוד, מצרכים </w:t>
      </w:r>
      <w:proofErr w:type="spellStart"/>
      <w:r w:rsidRPr="00BA4B9B">
        <w:rPr>
          <w:rFonts w:ascii="David" w:eastAsia="David" w:hAnsi="David" w:cs="David"/>
          <w:color w:val="000000"/>
          <w:sz w:val="26"/>
          <w:szCs w:val="26"/>
          <w:rtl/>
        </w:rPr>
        <w:t>וכיוצב</w:t>
      </w:r>
      <w:proofErr w:type="spellEnd"/>
      <w:r w:rsidRPr="00BA4B9B">
        <w:rPr>
          <w:rFonts w:ascii="David" w:eastAsia="David" w:hAnsi="David" w:cs="David"/>
          <w:color w:val="000000"/>
          <w:sz w:val="26"/>
          <w:szCs w:val="26"/>
          <w:rtl/>
        </w:rPr>
        <w:t xml:space="preserve">' לבין עמותות  או גופים ציבוריים (בלבד) שיכולים לספק את אותם צרכים, והן בחיבור בין תורמים לעמותות וגופים ציבוריים; ובלבד שהעמותות אליהן חברי הכנסת מפנים תורמים מתחייבות לנהל את כספי התרומות בנפרד מכספי העמותה לצרכיה הרגילים והשוטפים ובשקיפות מלאה ביחס לחלוקת התרומות. </w:t>
      </w:r>
    </w:p>
    <w:p w:rsidR="004F5ABB" w:rsidRPr="00BA4B9B" w:rsidRDefault="00237C11">
      <w:pPr>
        <w:numPr>
          <w:ilvl w:val="0"/>
          <w:numId w:val="1"/>
        </w:numPr>
        <w:pBdr>
          <w:top w:val="nil"/>
          <w:left w:val="nil"/>
          <w:bottom w:val="nil"/>
          <w:right w:val="nil"/>
          <w:between w:val="nil"/>
        </w:pBdr>
        <w:spacing w:after="0" w:line="360" w:lineRule="auto"/>
        <w:jc w:val="both"/>
        <w:rPr>
          <w:rFonts w:ascii="David" w:eastAsia="David" w:hAnsi="David" w:cs="David"/>
          <w:color w:val="000000"/>
          <w:sz w:val="26"/>
          <w:szCs w:val="26"/>
        </w:rPr>
      </w:pPr>
      <w:r w:rsidRPr="00BA4B9B">
        <w:rPr>
          <w:rFonts w:ascii="David" w:eastAsia="David" w:hAnsi="David" w:cs="David"/>
          <w:color w:val="000000"/>
          <w:sz w:val="26"/>
          <w:szCs w:val="26"/>
          <w:rtl/>
        </w:rPr>
        <w:t>יובהר כי גם בתקופה זו חל איסור מוחלט על שימוש בחשבונו האישי של חבר הכנסת או בחשבון אחר המצוי בשליטתו לצורך העברת כספים כאמור</w:t>
      </w:r>
      <w:r w:rsidRPr="00BA4B9B">
        <w:rPr>
          <w:rFonts w:ascii="David" w:eastAsia="David" w:hAnsi="David" w:cs="David"/>
          <w:color w:val="000000"/>
          <w:sz w:val="26"/>
          <w:szCs w:val="26"/>
          <w:vertAlign w:val="superscript"/>
        </w:rPr>
        <w:footnoteReference w:id="1"/>
      </w:r>
      <w:r w:rsidRPr="00BA4B9B">
        <w:rPr>
          <w:rFonts w:ascii="David" w:eastAsia="David" w:hAnsi="David" w:cs="David"/>
          <w:color w:val="000000"/>
          <w:sz w:val="26"/>
          <w:szCs w:val="26"/>
          <w:rtl/>
        </w:rPr>
        <w:t xml:space="preserve"> או בהעברת כספי התורם לעמותה על ידי חבר הכנסת. </w:t>
      </w:r>
    </w:p>
    <w:p w:rsidR="004F5ABB" w:rsidRPr="00BA4B9B" w:rsidRDefault="00237C11">
      <w:pPr>
        <w:numPr>
          <w:ilvl w:val="0"/>
          <w:numId w:val="1"/>
        </w:numPr>
        <w:pBdr>
          <w:top w:val="nil"/>
          <w:left w:val="nil"/>
          <w:bottom w:val="nil"/>
          <w:right w:val="nil"/>
          <w:between w:val="nil"/>
        </w:pBdr>
        <w:spacing w:after="0" w:line="360" w:lineRule="auto"/>
        <w:jc w:val="both"/>
        <w:rPr>
          <w:rFonts w:ascii="David" w:eastAsia="David" w:hAnsi="David" w:cs="David"/>
          <w:color w:val="000000"/>
          <w:sz w:val="26"/>
          <w:szCs w:val="26"/>
        </w:rPr>
      </w:pPr>
      <w:r w:rsidRPr="00BA4B9B">
        <w:rPr>
          <w:rFonts w:ascii="David" w:eastAsia="David" w:hAnsi="David" w:cs="David"/>
          <w:color w:val="000000"/>
          <w:sz w:val="26"/>
          <w:szCs w:val="26"/>
          <w:rtl/>
        </w:rPr>
        <w:t>בנוסף יובהר כי בהתאם לכללי האתיקה, חברי הכנסת רשאים להתנדב לסייע ללא תמורה בפעילות בעלת אופי ציבורי,</w:t>
      </w:r>
      <w:r w:rsidR="00B366B6">
        <w:rPr>
          <w:rFonts w:ascii="David" w:eastAsia="David" w:hAnsi="David" w:cs="David" w:hint="cs"/>
          <w:color w:val="000000"/>
          <w:sz w:val="26"/>
          <w:szCs w:val="26"/>
          <w:rtl/>
        </w:rPr>
        <w:t xml:space="preserve"> </w:t>
      </w:r>
      <w:r w:rsidRPr="00BA4B9B">
        <w:rPr>
          <w:rFonts w:ascii="David" w:eastAsia="David" w:hAnsi="David" w:cs="David"/>
          <w:color w:val="000000"/>
          <w:sz w:val="26"/>
          <w:szCs w:val="26"/>
          <w:rtl/>
        </w:rPr>
        <w:t>תוך שמירה על כבודה של הכנסת והימנעות מאפשרות של ניגוד עניינים.</w:t>
      </w:r>
    </w:p>
    <w:p w:rsidR="004F5ABB" w:rsidRPr="00BA4B9B" w:rsidRDefault="00237C11">
      <w:pPr>
        <w:numPr>
          <w:ilvl w:val="0"/>
          <w:numId w:val="1"/>
        </w:numPr>
        <w:pBdr>
          <w:top w:val="nil"/>
          <w:left w:val="nil"/>
          <w:bottom w:val="nil"/>
          <w:right w:val="nil"/>
          <w:between w:val="nil"/>
        </w:pBdr>
        <w:spacing w:line="360" w:lineRule="auto"/>
        <w:jc w:val="both"/>
        <w:rPr>
          <w:rFonts w:ascii="David" w:eastAsia="David" w:hAnsi="David" w:cs="David"/>
          <w:color w:val="000000"/>
          <w:sz w:val="26"/>
          <w:szCs w:val="26"/>
        </w:rPr>
      </w:pPr>
      <w:r w:rsidRPr="00BA4B9B">
        <w:rPr>
          <w:rFonts w:ascii="David" w:eastAsia="David" w:hAnsi="David" w:cs="David"/>
          <w:color w:val="000000"/>
          <w:sz w:val="26"/>
          <w:szCs w:val="26"/>
          <w:rtl/>
        </w:rPr>
        <w:t>ככל שענייניה של עמותה או גוף ציבורי כאמור בסעיפים 2 ו-4  יגיעו לדיון בכנסת, ייתכן שתחול חובת גילוי נאות ומוצע שחבר הכנסת שפעל כאמור יפנה לייעוץ המשפטי של הכנסת לייעוץ פרטני.</w:t>
      </w:r>
    </w:p>
    <w:p w:rsidR="004F5ABB" w:rsidRPr="00BA4B9B" w:rsidRDefault="00237C11">
      <w:pPr>
        <w:spacing w:line="360" w:lineRule="auto"/>
        <w:jc w:val="both"/>
        <w:rPr>
          <w:rFonts w:ascii="David" w:eastAsia="David" w:hAnsi="David" w:cs="David"/>
          <w:sz w:val="26"/>
          <w:szCs w:val="26"/>
        </w:rPr>
      </w:pPr>
      <w:r w:rsidRPr="00BA4B9B">
        <w:rPr>
          <w:rFonts w:ascii="David" w:eastAsia="David" w:hAnsi="David" w:cs="David"/>
          <w:sz w:val="26"/>
          <w:szCs w:val="26"/>
          <w:rtl/>
        </w:rPr>
        <w:t>בתפילה ובתקווה לימים טובים.</w:t>
      </w:r>
    </w:p>
    <w:p w:rsidR="00237C11" w:rsidRDefault="00237C11">
      <w:pPr>
        <w:spacing w:line="360" w:lineRule="auto"/>
        <w:jc w:val="both"/>
        <w:rPr>
          <w:rFonts w:ascii="David" w:eastAsia="David" w:hAnsi="David" w:cs="David"/>
          <w:sz w:val="24"/>
          <w:szCs w:val="24"/>
        </w:rPr>
      </w:pPr>
    </w:p>
    <w:p w:rsidR="004F5ABB" w:rsidRDefault="00B366B6" w:rsidP="00BA4B9B">
      <w:pPr>
        <w:spacing w:after="0" w:line="240" w:lineRule="auto"/>
        <w:ind w:left="3600" w:firstLine="720"/>
        <w:jc w:val="center"/>
        <w:rPr>
          <w:rFonts w:ascii="David" w:eastAsia="David" w:hAnsi="David" w:cs="David"/>
          <w:sz w:val="24"/>
          <w:szCs w:val="24"/>
          <w:rtl/>
        </w:rPr>
      </w:pPr>
      <w:r>
        <w:rPr>
          <w:rFonts w:ascii="David" w:eastAsia="David" w:hAnsi="David" w:cs="David" w:hint="cs"/>
          <w:noProof/>
          <w:sz w:val="24"/>
          <w:szCs w:val="24"/>
          <w:rtl/>
        </w:rPr>
        <w:t xml:space="preserve">             </w:t>
      </w:r>
      <w:r>
        <w:rPr>
          <w:rFonts w:ascii="David" w:eastAsia="David" w:hAnsi="David" w:cs="David"/>
          <w:noProof/>
          <w:sz w:val="24"/>
          <w:szCs w:val="24"/>
          <w:rtl/>
        </w:rPr>
        <w:drawing>
          <wp:inline distT="0" distB="0" distL="0" distR="0" wp14:anchorId="08A313CC" wp14:editId="5E62A314">
            <wp:extent cx="1211580" cy="480060"/>
            <wp:effectExtent l="0" t="0" r="762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480060"/>
                    </a:xfrm>
                    <a:prstGeom prst="rect">
                      <a:avLst/>
                    </a:prstGeom>
                    <a:noFill/>
                  </pic:spPr>
                </pic:pic>
              </a:graphicData>
            </a:graphic>
          </wp:inline>
        </w:drawing>
      </w:r>
    </w:p>
    <w:p w:rsidR="00B366B6" w:rsidRDefault="00B366B6" w:rsidP="00B366B6">
      <w:pPr>
        <w:spacing w:after="0" w:line="240" w:lineRule="auto"/>
        <w:ind w:left="4320" w:firstLine="720"/>
        <w:rPr>
          <w:rFonts w:ascii="David" w:eastAsia="David" w:hAnsi="David" w:cs="David"/>
          <w:sz w:val="24"/>
          <w:szCs w:val="24"/>
          <w:rtl/>
        </w:rPr>
      </w:pPr>
      <w:bookmarkStart w:id="1" w:name="_gjdgxs" w:colFirst="0" w:colLast="0"/>
      <w:bookmarkEnd w:id="1"/>
      <w:r>
        <w:rPr>
          <w:rFonts w:ascii="David" w:eastAsia="David" w:hAnsi="David" w:cs="David" w:hint="cs"/>
          <w:sz w:val="24"/>
          <w:szCs w:val="24"/>
          <w:rtl/>
        </w:rPr>
        <w:t xml:space="preserve">      ____________________</w:t>
      </w:r>
    </w:p>
    <w:p w:rsidR="00BA4B9B" w:rsidRDefault="00BA4B9B" w:rsidP="00BA4B9B">
      <w:pPr>
        <w:spacing w:after="0" w:line="240" w:lineRule="auto"/>
        <w:ind w:left="4320" w:firstLine="720"/>
        <w:jc w:val="center"/>
        <w:rPr>
          <w:rFonts w:ascii="David" w:eastAsia="David" w:hAnsi="David" w:cs="David"/>
          <w:sz w:val="24"/>
          <w:szCs w:val="24"/>
          <w:rtl/>
        </w:rPr>
      </w:pPr>
      <w:r>
        <w:rPr>
          <w:rFonts w:ascii="David" w:eastAsia="David" w:hAnsi="David" w:cs="David" w:hint="cs"/>
          <w:sz w:val="24"/>
          <w:szCs w:val="24"/>
          <w:rtl/>
        </w:rPr>
        <w:t>חבר הכנסת ינון אזולאי</w:t>
      </w:r>
    </w:p>
    <w:p w:rsidR="004F5ABB" w:rsidRDefault="00B366B6" w:rsidP="00B366B6">
      <w:pPr>
        <w:spacing w:after="0" w:line="240" w:lineRule="auto"/>
        <w:ind w:left="4320" w:firstLine="720"/>
        <w:jc w:val="center"/>
        <w:rPr>
          <w:rFonts w:ascii="David" w:eastAsia="David" w:hAnsi="David" w:cs="David"/>
          <w:sz w:val="24"/>
          <w:szCs w:val="24"/>
        </w:rPr>
      </w:pPr>
      <w:r>
        <w:rPr>
          <w:rFonts w:ascii="David" w:eastAsia="David" w:hAnsi="David" w:cs="David" w:hint="cs"/>
          <w:sz w:val="24"/>
          <w:szCs w:val="24"/>
          <w:rtl/>
        </w:rPr>
        <w:t xml:space="preserve">      </w:t>
      </w:r>
      <w:r w:rsidR="00BA4B9B">
        <w:rPr>
          <w:rFonts w:ascii="David" w:eastAsia="David" w:hAnsi="David" w:cs="David" w:hint="cs"/>
          <w:sz w:val="24"/>
          <w:szCs w:val="24"/>
          <w:rtl/>
        </w:rPr>
        <w:t>יושב ראש ועדת האתיקה</w:t>
      </w:r>
      <w:r w:rsidR="00237C11">
        <w:rPr>
          <w:rFonts w:ascii="David" w:eastAsia="David" w:hAnsi="David" w:cs="David"/>
          <w:sz w:val="24"/>
          <w:szCs w:val="24"/>
        </w:rPr>
        <w:tab/>
      </w:r>
      <w:r w:rsidR="00237C11">
        <w:rPr>
          <w:rFonts w:ascii="David" w:eastAsia="David" w:hAnsi="David" w:cs="David"/>
          <w:sz w:val="24"/>
          <w:szCs w:val="24"/>
        </w:rPr>
        <w:tab/>
      </w:r>
      <w:r w:rsidR="00237C11">
        <w:rPr>
          <w:rFonts w:ascii="David" w:eastAsia="David" w:hAnsi="David" w:cs="David"/>
          <w:sz w:val="24"/>
          <w:szCs w:val="24"/>
        </w:rPr>
        <w:tab/>
      </w:r>
    </w:p>
    <w:sectPr w:rsidR="004F5ABB" w:rsidSect="00237C11">
      <w:pgSz w:w="11906" w:h="16838"/>
      <w:pgMar w:top="1440" w:right="1800" w:bottom="284"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248" w:rsidRDefault="00BA6248">
      <w:pPr>
        <w:spacing w:after="0" w:line="240" w:lineRule="auto"/>
      </w:pPr>
      <w:r>
        <w:separator/>
      </w:r>
    </w:p>
  </w:endnote>
  <w:endnote w:type="continuationSeparator" w:id="0">
    <w:p w:rsidR="00BA6248" w:rsidRDefault="00BA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248" w:rsidRDefault="00BA6248">
      <w:pPr>
        <w:spacing w:after="0" w:line="240" w:lineRule="auto"/>
      </w:pPr>
      <w:r>
        <w:separator/>
      </w:r>
    </w:p>
  </w:footnote>
  <w:footnote w:type="continuationSeparator" w:id="0">
    <w:p w:rsidR="00BA6248" w:rsidRDefault="00BA6248">
      <w:pPr>
        <w:spacing w:after="0" w:line="240" w:lineRule="auto"/>
      </w:pPr>
      <w:r>
        <w:continuationSeparator/>
      </w:r>
    </w:p>
  </w:footnote>
  <w:footnote w:id="1">
    <w:p w:rsidR="004F5ABB" w:rsidRDefault="00237C11" w:rsidP="00B366B6">
      <w:pPr>
        <w:spacing w:line="360" w:lineRule="auto"/>
        <w:jc w:val="both"/>
        <w:rPr>
          <w:color w:val="000000"/>
          <w:sz w:val="20"/>
          <w:szCs w:val="20"/>
        </w:rPr>
      </w:pPr>
      <w:r>
        <w:rPr>
          <w:vertAlign w:val="superscript"/>
        </w:rPr>
        <w:footnoteRef/>
      </w:r>
      <w:r>
        <w:t xml:space="preserve"> </w:t>
      </w:r>
      <w:r>
        <w:rPr>
          <w:rFonts w:ascii="David" w:eastAsia="David" w:hAnsi="David" w:cs="David"/>
          <w:sz w:val="24"/>
          <w:szCs w:val="24"/>
          <w:rtl/>
        </w:rPr>
        <w:t>החלטה 44/18 של ועדת האתיקה.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4774FB"/>
    <w:multiLevelType w:val="multilevel"/>
    <w:tmpl w:val="FF6A43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ABB"/>
    <w:rsid w:val="001D1378"/>
    <w:rsid w:val="00237C11"/>
    <w:rsid w:val="003C045F"/>
    <w:rsid w:val="004F5ABB"/>
    <w:rsid w:val="0075545A"/>
    <w:rsid w:val="007874B4"/>
    <w:rsid w:val="00B366B6"/>
    <w:rsid w:val="00BA4B9B"/>
    <w:rsid w:val="00BA6248"/>
    <w:rsid w:val="00CC77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3B8CB-236A-4342-A6BA-EEB46F556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CE672-83F0-48D9-B2A6-F657AC63CD2A}"/>
</file>

<file path=customXml/itemProps2.xml><?xml version="1.0" encoding="utf-8"?>
<ds:datastoreItem xmlns:ds="http://schemas.openxmlformats.org/officeDocument/2006/customXml" ds:itemID="{675228DC-68C2-47CF-85AA-9C2AB35F82D7}"/>
</file>

<file path=customXml/itemProps3.xml><?xml version="1.0" encoding="utf-8"?>
<ds:datastoreItem xmlns:ds="http://schemas.openxmlformats.org/officeDocument/2006/customXml" ds:itemID="{54FEB7EB-CBC9-40FC-9594-C662354C115C}"/>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תמי בר</dc:creator>
  <cp:lastModifiedBy>דנה הרש</cp:lastModifiedBy>
  <cp:revision>2</cp:revision>
  <dcterms:created xsi:type="dcterms:W3CDTF">2023-10-17T04:31:00Z</dcterms:created>
  <dcterms:modified xsi:type="dcterms:W3CDTF">2023-10-17T04:31:00Z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2209776</vt:r8>
  </property>
</Properties>
</file>