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12E" w:rsidRDefault="00F5112E" w:rsidP="00F5112E">
      <w:pPr>
        <w:tabs>
          <w:tab w:val="left" w:pos="340"/>
        </w:tabs>
        <w:spacing w:after="120" w:line="360" w:lineRule="auto"/>
        <w:contextualSpacing/>
        <w:jc w:val="right"/>
        <w:rPr>
          <w:rFonts w:cs="David"/>
          <w:b/>
          <w:bCs/>
          <w:sz w:val="24"/>
          <w:szCs w:val="24"/>
          <w:u w:val="single"/>
        </w:rPr>
      </w:pPr>
      <w:r w:rsidRPr="00FA5DC3">
        <w:rPr>
          <w:rFonts w:cs="David"/>
          <w:b/>
          <w:bCs/>
          <w:sz w:val="24"/>
          <w:szCs w:val="24"/>
          <w:u w:val="single"/>
          <w:rtl/>
        </w:rPr>
        <w:t>החלטה מס'</w:t>
      </w:r>
      <w:r w:rsidR="00FA5DC3" w:rsidRPr="00FA5DC3">
        <w:rPr>
          <w:rFonts w:cs="David" w:hint="cs"/>
          <w:b/>
          <w:bCs/>
          <w:sz w:val="24"/>
          <w:szCs w:val="24"/>
          <w:u w:val="single"/>
          <w:rtl/>
        </w:rPr>
        <w:t xml:space="preserve"> 11/25</w:t>
      </w:r>
    </w:p>
    <w:p w:rsidR="00F5112E" w:rsidRDefault="00F5112E" w:rsidP="00F5112E">
      <w:pPr>
        <w:tabs>
          <w:tab w:val="left" w:pos="340"/>
        </w:tabs>
        <w:spacing w:after="120" w:line="360" w:lineRule="auto"/>
        <w:contextualSpacing/>
        <w:jc w:val="center"/>
        <w:rPr>
          <w:rFonts w:cs="David"/>
          <w:b/>
          <w:bCs/>
          <w:sz w:val="26"/>
          <w:szCs w:val="26"/>
          <w:rtl/>
        </w:rPr>
      </w:pPr>
    </w:p>
    <w:p w:rsidR="00F5112E" w:rsidRDefault="00F5112E" w:rsidP="00F5112E">
      <w:pPr>
        <w:tabs>
          <w:tab w:val="left" w:pos="340"/>
        </w:tabs>
        <w:spacing w:after="120" w:line="240" w:lineRule="auto"/>
        <w:contextualSpacing/>
        <w:jc w:val="center"/>
        <w:rPr>
          <w:rFonts w:cs="David"/>
          <w:b/>
          <w:bCs/>
          <w:sz w:val="26"/>
          <w:szCs w:val="26"/>
          <w:rtl/>
        </w:rPr>
      </w:pPr>
      <w:r>
        <w:rPr>
          <w:rFonts w:cs="David"/>
          <w:b/>
          <w:bCs/>
          <w:sz w:val="26"/>
          <w:szCs w:val="26"/>
          <w:rtl/>
        </w:rPr>
        <w:t>החלטת ועדת האתיקה</w:t>
      </w:r>
    </w:p>
    <w:p w:rsidR="00F5112E" w:rsidRDefault="00F5112E" w:rsidP="00F5112E">
      <w:pPr>
        <w:tabs>
          <w:tab w:val="left" w:pos="340"/>
        </w:tabs>
        <w:spacing w:after="0" w:line="240" w:lineRule="auto"/>
        <w:jc w:val="center"/>
        <w:rPr>
          <w:rFonts w:cs="David"/>
          <w:b/>
          <w:bCs/>
          <w:sz w:val="26"/>
          <w:szCs w:val="26"/>
          <w:u w:val="single"/>
          <w:rtl/>
        </w:rPr>
      </w:pPr>
      <w:bookmarkStart w:id="0" w:name="_GoBack"/>
      <w:r>
        <w:rPr>
          <w:rFonts w:cs="David"/>
          <w:b/>
          <w:bCs/>
          <w:sz w:val="26"/>
          <w:szCs w:val="26"/>
          <w:u w:val="single"/>
          <w:rtl/>
        </w:rPr>
        <w:t>בקובלנות נגד חבר הכנסת שמחה רוטמן, יושב ראש וועדת החוקה, חוק ומשפט</w:t>
      </w:r>
      <w:bookmarkEnd w:id="0"/>
      <w:r>
        <w:rPr>
          <w:rFonts w:cs="David"/>
          <w:b/>
          <w:bCs/>
          <w:sz w:val="26"/>
          <w:szCs w:val="26"/>
          <w:u w:val="single"/>
          <w:rtl/>
        </w:rPr>
        <w:br/>
        <w:t>בגין שימוש לרעה בסמכותו כיושב ראש הוועדה</w:t>
      </w:r>
    </w:p>
    <w:p w:rsidR="00F5112E" w:rsidRDefault="00F5112E" w:rsidP="00F5112E">
      <w:pPr>
        <w:tabs>
          <w:tab w:val="left" w:pos="340"/>
        </w:tabs>
        <w:spacing w:before="120" w:after="0" w:line="240" w:lineRule="auto"/>
        <w:contextualSpacing/>
        <w:jc w:val="center"/>
        <w:rPr>
          <w:rFonts w:cs="David"/>
          <w:sz w:val="24"/>
          <w:szCs w:val="24"/>
          <w:rtl/>
        </w:rPr>
      </w:pPr>
      <w:r>
        <w:rPr>
          <w:rFonts w:cs="David"/>
          <w:sz w:val="24"/>
          <w:szCs w:val="24"/>
          <w:rtl/>
        </w:rPr>
        <w:t xml:space="preserve">מיום ט' בתמוז </w:t>
      </w:r>
      <w:proofErr w:type="spellStart"/>
      <w:r>
        <w:rPr>
          <w:rFonts w:cs="David"/>
          <w:sz w:val="24"/>
          <w:szCs w:val="24"/>
          <w:rtl/>
        </w:rPr>
        <w:t>התשפ"ג</w:t>
      </w:r>
      <w:proofErr w:type="spellEnd"/>
      <w:r>
        <w:rPr>
          <w:rFonts w:cs="David"/>
          <w:sz w:val="24"/>
          <w:szCs w:val="24"/>
          <w:rtl/>
        </w:rPr>
        <w:t xml:space="preserve"> – 28 ביוני 2023</w:t>
      </w:r>
    </w:p>
    <w:p w:rsidR="00F5112E" w:rsidRDefault="00F5112E" w:rsidP="00F5112E">
      <w:pPr>
        <w:tabs>
          <w:tab w:val="left" w:pos="340"/>
        </w:tabs>
        <w:spacing w:after="120" w:line="360" w:lineRule="auto"/>
        <w:jc w:val="both"/>
        <w:rPr>
          <w:rFonts w:cs="David"/>
          <w:sz w:val="24"/>
          <w:szCs w:val="24"/>
          <w:rtl/>
        </w:rPr>
      </w:pPr>
    </w:p>
    <w:p w:rsidR="00F5112E" w:rsidRDefault="00F5112E" w:rsidP="00F5112E">
      <w:pPr>
        <w:tabs>
          <w:tab w:val="left" w:pos="340"/>
        </w:tabs>
        <w:spacing w:after="120" w:line="360" w:lineRule="auto"/>
        <w:jc w:val="both"/>
        <w:rPr>
          <w:rFonts w:cs="David"/>
          <w:b/>
          <w:bCs/>
          <w:sz w:val="24"/>
          <w:szCs w:val="24"/>
          <w:u w:val="single"/>
          <w:rtl/>
        </w:rPr>
      </w:pPr>
      <w:r>
        <w:rPr>
          <w:rFonts w:cs="David"/>
          <w:b/>
          <w:bCs/>
          <w:sz w:val="24"/>
          <w:szCs w:val="24"/>
          <w:u w:val="single"/>
          <w:rtl/>
        </w:rPr>
        <w:t>הקובלנות והתגובה</w:t>
      </w:r>
    </w:p>
    <w:p w:rsidR="00F5112E" w:rsidRDefault="00F5112E" w:rsidP="00DF1C5D">
      <w:pPr>
        <w:pStyle w:val="a3"/>
        <w:numPr>
          <w:ilvl w:val="0"/>
          <w:numId w:val="1"/>
        </w:numPr>
        <w:tabs>
          <w:tab w:val="left" w:pos="340"/>
        </w:tabs>
        <w:spacing w:after="120" w:line="360" w:lineRule="auto"/>
        <w:ind w:left="357" w:hanging="357"/>
        <w:contextualSpacing w:val="0"/>
        <w:jc w:val="both"/>
        <w:rPr>
          <w:rFonts w:cs="David"/>
          <w:sz w:val="24"/>
          <w:szCs w:val="24"/>
          <w:rtl/>
        </w:rPr>
      </w:pPr>
      <w:r>
        <w:rPr>
          <w:rFonts w:cs="David"/>
          <w:sz w:val="24"/>
          <w:szCs w:val="24"/>
          <w:rtl/>
        </w:rPr>
        <w:t xml:space="preserve">חברי הכנסת כסיף, אלהרר </w:t>
      </w:r>
      <w:proofErr w:type="spellStart"/>
      <w:r>
        <w:rPr>
          <w:rFonts w:cs="David"/>
          <w:sz w:val="24"/>
          <w:szCs w:val="24"/>
          <w:rtl/>
        </w:rPr>
        <w:t>וסגלוביץ</w:t>
      </w:r>
      <w:proofErr w:type="spellEnd"/>
      <w:r>
        <w:rPr>
          <w:rFonts w:cs="David"/>
          <w:sz w:val="24"/>
          <w:szCs w:val="24"/>
          <w:rtl/>
        </w:rPr>
        <w:t xml:space="preserve">' קבלו </w:t>
      </w:r>
      <w:proofErr w:type="spellStart"/>
      <w:r>
        <w:rPr>
          <w:rFonts w:cs="David"/>
          <w:sz w:val="24"/>
          <w:szCs w:val="24"/>
          <w:rtl/>
        </w:rPr>
        <w:t>בענין</w:t>
      </w:r>
      <w:proofErr w:type="spellEnd"/>
      <w:r>
        <w:rPr>
          <w:rFonts w:cs="David"/>
          <w:sz w:val="24"/>
          <w:szCs w:val="24"/>
          <w:rtl/>
        </w:rPr>
        <w:t xml:space="preserve"> אופן ניהול ישיבות ועדת החוקה, חוק ומש</w:t>
      </w:r>
      <w:r w:rsidR="0095182B">
        <w:rPr>
          <w:rFonts w:cs="David"/>
          <w:sz w:val="24"/>
          <w:szCs w:val="24"/>
          <w:rtl/>
        </w:rPr>
        <w:t xml:space="preserve">פט ועל כך </w:t>
      </w:r>
      <w:r w:rsidR="00DF1C5D">
        <w:rPr>
          <w:rFonts w:cs="David" w:hint="cs"/>
          <w:sz w:val="24"/>
          <w:szCs w:val="24"/>
          <w:rtl/>
        </w:rPr>
        <w:t>ש</w:t>
      </w:r>
      <w:r w:rsidR="00DF1C5D">
        <w:rPr>
          <w:rFonts w:cs="David"/>
          <w:sz w:val="24"/>
          <w:szCs w:val="24"/>
          <w:rtl/>
        </w:rPr>
        <w:t>יו</w:t>
      </w:r>
      <w:r w:rsidR="00DF1C5D">
        <w:rPr>
          <w:rFonts w:cs="David" w:hint="cs"/>
          <w:sz w:val="24"/>
          <w:szCs w:val="24"/>
          <w:rtl/>
        </w:rPr>
        <w:t>שב ראש</w:t>
      </w:r>
      <w:r w:rsidR="00DF1C5D">
        <w:rPr>
          <w:rFonts w:cs="David"/>
          <w:sz w:val="24"/>
          <w:szCs w:val="24"/>
          <w:rtl/>
        </w:rPr>
        <w:t xml:space="preserve"> הוועדה חבר הכנסת רוטמן</w:t>
      </w:r>
      <w:r w:rsidR="00DF1C5D">
        <w:rPr>
          <w:rFonts w:cs="David" w:hint="cs"/>
          <w:sz w:val="24"/>
          <w:szCs w:val="24"/>
          <w:rtl/>
        </w:rPr>
        <w:t xml:space="preserve"> </w:t>
      </w:r>
      <w:r>
        <w:rPr>
          <w:rFonts w:cs="David"/>
          <w:sz w:val="24"/>
          <w:szCs w:val="24"/>
          <w:rtl/>
        </w:rPr>
        <w:t xml:space="preserve">מנע זכות דיבור מחברי כנסת וממוזמנים, קרא לסדר באופן חוזר ונשנה את חברי הכנסת מהאופוזיציה ובאחת הישיבות הרחיק 17 חברי כנסת מהם; תקף וקטע את דבריהם של בעלי תפקידים; וקבע דיונים בלוחות זמנים צפופים. </w:t>
      </w:r>
    </w:p>
    <w:p w:rsidR="00F5112E" w:rsidRDefault="00F5112E" w:rsidP="00F5112E">
      <w:pPr>
        <w:pStyle w:val="a3"/>
        <w:numPr>
          <w:ilvl w:val="0"/>
          <w:numId w:val="1"/>
        </w:numPr>
        <w:tabs>
          <w:tab w:val="left" w:pos="340"/>
        </w:tabs>
        <w:spacing w:after="120" w:line="360" w:lineRule="auto"/>
        <w:ind w:left="357" w:hanging="357"/>
        <w:contextualSpacing w:val="0"/>
        <w:jc w:val="both"/>
        <w:rPr>
          <w:rFonts w:cs="David"/>
          <w:sz w:val="24"/>
          <w:szCs w:val="24"/>
          <w:rtl/>
        </w:rPr>
      </w:pPr>
      <w:r>
        <w:rPr>
          <w:rFonts w:cs="David"/>
          <w:sz w:val="24"/>
          <w:szCs w:val="24"/>
          <w:rtl/>
        </w:rPr>
        <w:t xml:space="preserve">חבר הכנסת רוטמן ביקש להופיע בפני הוועדה ובדבריו ציין שגם התנהלותה של האופוזיציה </w:t>
      </w:r>
      <w:proofErr w:type="spellStart"/>
      <w:r>
        <w:rPr>
          <w:rFonts w:cs="David"/>
          <w:sz w:val="24"/>
          <w:szCs w:val="24"/>
          <w:rtl/>
        </w:rPr>
        <w:t>היתה</w:t>
      </w:r>
      <w:proofErr w:type="spellEnd"/>
      <w:r>
        <w:rPr>
          <w:rFonts w:cs="David"/>
          <w:sz w:val="24"/>
          <w:szCs w:val="24"/>
          <w:rtl/>
        </w:rPr>
        <w:t xml:space="preserve"> לצרכי פיליבסטר מתמשך שהובילה לחלק מהבעיות; שהוא השתדל לקבוע את לוחות הזמנים בתיאום עם </w:t>
      </w:r>
      <w:proofErr w:type="spellStart"/>
      <w:r>
        <w:rPr>
          <w:rFonts w:cs="David"/>
          <w:sz w:val="24"/>
          <w:szCs w:val="24"/>
          <w:rtl/>
        </w:rPr>
        <w:t>היעוץ</w:t>
      </w:r>
      <w:proofErr w:type="spellEnd"/>
      <w:r>
        <w:rPr>
          <w:rFonts w:cs="David"/>
          <w:sz w:val="24"/>
          <w:szCs w:val="24"/>
          <w:rtl/>
        </w:rPr>
        <w:t xml:space="preserve"> המשפטי לוועדה; וכי מעת לעת התנצל על דברים שאמר או על הטון שנקט.</w:t>
      </w:r>
    </w:p>
    <w:p w:rsidR="00F5112E" w:rsidRDefault="00F5112E" w:rsidP="00F5112E">
      <w:pPr>
        <w:tabs>
          <w:tab w:val="left" w:pos="340"/>
        </w:tabs>
        <w:spacing w:before="240" w:after="120" w:line="360" w:lineRule="auto"/>
        <w:jc w:val="both"/>
        <w:rPr>
          <w:rFonts w:cs="David"/>
          <w:b/>
          <w:bCs/>
          <w:sz w:val="24"/>
          <w:szCs w:val="24"/>
          <w:u w:val="single"/>
          <w:rtl/>
        </w:rPr>
      </w:pPr>
      <w:r>
        <w:rPr>
          <w:rFonts w:cs="David"/>
          <w:b/>
          <w:bCs/>
          <w:sz w:val="24"/>
          <w:szCs w:val="24"/>
          <w:u w:val="single"/>
          <w:rtl/>
        </w:rPr>
        <w:t xml:space="preserve">דיון </w:t>
      </w:r>
    </w:p>
    <w:p w:rsidR="00F5112E" w:rsidRDefault="00F5112E" w:rsidP="00F5112E">
      <w:pPr>
        <w:pStyle w:val="a3"/>
        <w:numPr>
          <w:ilvl w:val="0"/>
          <w:numId w:val="1"/>
        </w:numPr>
        <w:tabs>
          <w:tab w:val="left" w:pos="340"/>
        </w:tabs>
        <w:spacing w:after="120" w:line="360" w:lineRule="auto"/>
        <w:ind w:left="357"/>
        <w:contextualSpacing w:val="0"/>
        <w:jc w:val="both"/>
        <w:rPr>
          <w:rFonts w:cs="David"/>
          <w:sz w:val="24"/>
          <w:szCs w:val="24"/>
          <w:rtl/>
        </w:rPr>
      </w:pPr>
      <w:r>
        <w:rPr>
          <w:rFonts w:cs="David"/>
          <w:sz w:val="24"/>
          <w:szCs w:val="24"/>
          <w:rtl/>
        </w:rPr>
        <w:t>הוועדה שמעה את חבר הכנסת וכן עיינה בפרוטוקולים ובשידורים של הוועדה.</w:t>
      </w:r>
    </w:p>
    <w:p w:rsidR="00F5112E" w:rsidRDefault="00F5112E" w:rsidP="00F5112E">
      <w:pPr>
        <w:pStyle w:val="a3"/>
        <w:numPr>
          <w:ilvl w:val="0"/>
          <w:numId w:val="1"/>
        </w:numPr>
        <w:tabs>
          <w:tab w:val="left" w:pos="340"/>
        </w:tabs>
        <w:spacing w:after="120" w:line="360" w:lineRule="auto"/>
        <w:ind w:left="357"/>
        <w:contextualSpacing w:val="0"/>
        <w:jc w:val="both"/>
        <w:rPr>
          <w:rFonts w:cs="David"/>
          <w:sz w:val="24"/>
          <w:szCs w:val="24"/>
        </w:rPr>
      </w:pPr>
      <w:r>
        <w:rPr>
          <w:rFonts w:cs="David"/>
          <w:sz w:val="24"/>
          <w:szCs w:val="24"/>
          <w:rtl/>
        </w:rPr>
        <w:t>בכנסת ה-25 הוקדשו מרבית דיוני ועדת החוקה, חוק ומשפט "לרפורמה המשפטית", שעוררה ועודנה מעוררת מחלוקת ציבורית רחבה, ובהתאמה אף דיוני הוועדה בתקופה זו היו סוערים וטעונים, והשתתפו בהם חברי כנסת ומוזמנים רבים.</w:t>
      </w:r>
    </w:p>
    <w:p w:rsidR="00F5112E" w:rsidRDefault="00F5112E" w:rsidP="00F5112E">
      <w:pPr>
        <w:pStyle w:val="a3"/>
        <w:numPr>
          <w:ilvl w:val="0"/>
          <w:numId w:val="1"/>
        </w:numPr>
        <w:tabs>
          <w:tab w:val="left" w:pos="340"/>
        </w:tabs>
        <w:spacing w:after="120" w:line="360" w:lineRule="auto"/>
        <w:ind w:left="357"/>
        <w:contextualSpacing w:val="0"/>
        <w:jc w:val="both"/>
        <w:rPr>
          <w:rFonts w:cs="David"/>
          <w:sz w:val="24"/>
          <w:szCs w:val="24"/>
        </w:rPr>
      </w:pPr>
      <w:r>
        <w:rPr>
          <w:rFonts w:cs="David"/>
          <w:sz w:val="24"/>
          <w:szCs w:val="24"/>
          <w:rtl/>
        </w:rPr>
        <w:t>תקנון הכנסת מקנה לראשי הוועדות חופש פעולה ושיק</w:t>
      </w:r>
      <w:r w:rsidR="00651DCB">
        <w:rPr>
          <w:rFonts w:cs="David"/>
          <w:sz w:val="24"/>
          <w:szCs w:val="24"/>
          <w:rtl/>
        </w:rPr>
        <w:t>ול דעת רחב בניהול ישיבות הוועדה</w:t>
      </w:r>
      <w:r>
        <w:rPr>
          <w:rFonts w:cs="David"/>
          <w:sz w:val="24"/>
          <w:szCs w:val="24"/>
          <w:rtl/>
        </w:rPr>
        <w:t xml:space="preserve"> ובכלל זאת הסמכות לקבוע את לוחות הזמנים, זהות הדוברים, משך הישיבות ונושאי הדיון. </w:t>
      </w:r>
      <w:proofErr w:type="spellStart"/>
      <w:r>
        <w:rPr>
          <w:rFonts w:cs="David"/>
          <w:sz w:val="24"/>
          <w:szCs w:val="24"/>
          <w:rtl/>
        </w:rPr>
        <w:t>לענין</w:t>
      </w:r>
      <w:proofErr w:type="spellEnd"/>
      <w:r>
        <w:rPr>
          <w:rFonts w:cs="David"/>
          <w:sz w:val="24"/>
          <w:szCs w:val="24"/>
          <w:rtl/>
        </w:rPr>
        <w:t xml:space="preserve"> הדיון עצמו, סעיף 113(ב) לתקנון קובע כי </w:t>
      </w:r>
      <w:r>
        <w:rPr>
          <w:rFonts w:ascii="David" w:hAnsi="David" w:cs="David"/>
          <w:color w:val="000000"/>
          <w:sz w:val="24"/>
          <w:szCs w:val="24"/>
          <w:rtl/>
        </w:rPr>
        <w:t>"יושב ראש הוועדה רשאי לקבוע את מסגרת הדיון, ורשאי הוא לקצוב את זמן הדיבור, ובלבד שייתן זמן דיבור הולם לכל אחד מחברי הוועדה".</w:t>
      </w:r>
      <w:r>
        <w:rPr>
          <w:rFonts w:cs="David"/>
          <w:sz w:val="24"/>
          <w:szCs w:val="24"/>
          <w:rtl/>
        </w:rPr>
        <w:t xml:space="preserve"> </w:t>
      </w:r>
    </w:p>
    <w:p w:rsidR="00F5112E" w:rsidRDefault="00F5112E" w:rsidP="00F5112E">
      <w:pPr>
        <w:pStyle w:val="a3"/>
        <w:numPr>
          <w:ilvl w:val="0"/>
          <w:numId w:val="1"/>
        </w:numPr>
        <w:tabs>
          <w:tab w:val="left" w:pos="340"/>
        </w:tabs>
        <w:spacing w:after="120" w:line="360" w:lineRule="auto"/>
        <w:ind w:left="357"/>
        <w:contextualSpacing w:val="0"/>
        <w:jc w:val="both"/>
        <w:rPr>
          <w:rFonts w:cs="David"/>
          <w:sz w:val="24"/>
          <w:szCs w:val="24"/>
        </w:rPr>
      </w:pPr>
      <w:r>
        <w:rPr>
          <w:rFonts w:cs="David"/>
          <w:sz w:val="24"/>
          <w:szCs w:val="24"/>
          <w:rtl/>
        </w:rPr>
        <w:t>שמיעת מגוון הדעות בנושאים השונים הנדונים בוועדות הוא בגדר חובה הנגזרת מתכלית הדיונים בוועדות, שנועדו לאפשר לחברי הכנסת לגבש את עמדתם בסוגיות השונות. (החלטה מס' 79/18 והחלטה מס' 10/19).</w:t>
      </w:r>
    </w:p>
    <w:p w:rsidR="00F5112E" w:rsidRDefault="00F5112E" w:rsidP="00F5112E">
      <w:pPr>
        <w:pStyle w:val="a3"/>
        <w:numPr>
          <w:ilvl w:val="0"/>
          <w:numId w:val="1"/>
        </w:numPr>
        <w:tabs>
          <w:tab w:val="left" w:pos="340"/>
        </w:tabs>
        <w:spacing w:after="120" w:line="360" w:lineRule="auto"/>
        <w:ind w:left="357"/>
        <w:contextualSpacing w:val="0"/>
        <w:jc w:val="both"/>
        <w:rPr>
          <w:rFonts w:cs="David"/>
          <w:sz w:val="24"/>
          <w:szCs w:val="24"/>
        </w:rPr>
      </w:pPr>
      <w:r>
        <w:rPr>
          <w:rFonts w:cs="David"/>
          <w:sz w:val="24"/>
          <w:szCs w:val="24"/>
          <w:rtl/>
        </w:rPr>
        <w:t>הוועדה מצאה שדיונים אלה התקיימו על רקע מחלוקת ציבורית ובהם נוצרו לא אחת הפרעות, עיכובים וקשיים הן מצד יושב ראש הוועדה והן מצד חברי הוועדה. עם זאת, תפקיד יושב הראש מביא עמו אחריות מוגברת להתנהלות עניינית, ופעמים רבות חבר הכנסת רוטמן התיר לעצמו מה שאסר על אחרים.</w:t>
      </w:r>
    </w:p>
    <w:p w:rsidR="00F5112E" w:rsidRDefault="00F5112E" w:rsidP="00F5112E">
      <w:pPr>
        <w:pStyle w:val="a3"/>
        <w:numPr>
          <w:ilvl w:val="0"/>
          <w:numId w:val="1"/>
        </w:numPr>
        <w:tabs>
          <w:tab w:val="left" w:pos="340"/>
        </w:tabs>
        <w:spacing w:after="120" w:line="360" w:lineRule="auto"/>
        <w:ind w:left="357"/>
        <w:contextualSpacing w:val="0"/>
        <w:jc w:val="both"/>
        <w:rPr>
          <w:rFonts w:cs="David"/>
          <w:sz w:val="24"/>
          <w:szCs w:val="24"/>
        </w:rPr>
      </w:pPr>
      <w:r>
        <w:rPr>
          <w:rFonts w:cs="David"/>
          <w:sz w:val="24"/>
          <w:szCs w:val="24"/>
          <w:rtl/>
        </w:rPr>
        <w:t xml:space="preserve">כך למשל בישיבת הוועדה מיום 13/2/2023 עולה כי במהלך הדיון התרחשה מהומה שפורטה בהרחבה בהחלטת ועדת האתיקה מס' 3/25, במהלכה חבר הכנסת רוטמן אכן הוציא מספר רב יחסית של חברי הכנסת מהדיון ועל חלקם אף הוטלו סנקציות במסגרת החלטת הוועדה האמורה. </w:t>
      </w:r>
    </w:p>
    <w:p w:rsidR="00F5112E" w:rsidRDefault="00F5112E" w:rsidP="00F5112E">
      <w:pPr>
        <w:tabs>
          <w:tab w:val="left" w:pos="340"/>
        </w:tabs>
        <w:spacing w:before="240" w:after="120" w:line="360" w:lineRule="auto"/>
        <w:jc w:val="both"/>
        <w:rPr>
          <w:rFonts w:cs="David"/>
          <w:b/>
          <w:bCs/>
          <w:sz w:val="24"/>
          <w:szCs w:val="24"/>
          <w:u w:val="single"/>
        </w:rPr>
      </w:pPr>
      <w:r>
        <w:rPr>
          <w:rFonts w:cs="David"/>
          <w:b/>
          <w:bCs/>
          <w:sz w:val="24"/>
          <w:szCs w:val="24"/>
          <w:u w:val="single"/>
          <w:rtl/>
        </w:rPr>
        <w:lastRenderedPageBreak/>
        <w:t>החלטת הוועדה</w:t>
      </w:r>
    </w:p>
    <w:p w:rsidR="00F5112E" w:rsidRDefault="00F5112E" w:rsidP="00F5112E">
      <w:pPr>
        <w:pStyle w:val="a3"/>
        <w:numPr>
          <w:ilvl w:val="0"/>
          <w:numId w:val="1"/>
        </w:numPr>
        <w:tabs>
          <w:tab w:val="left" w:pos="340"/>
        </w:tabs>
        <w:spacing w:after="120" w:line="360" w:lineRule="auto"/>
        <w:ind w:left="357" w:hanging="357"/>
        <w:contextualSpacing w:val="0"/>
        <w:jc w:val="both"/>
        <w:rPr>
          <w:rFonts w:cs="David"/>
          <w:sz w:val="24"/>
          <w:szCs w:val="24"/>
        </w:rPr>
      </w:pPr>
      <w:r>
        <w:rPr>
          <w:rFonts w:cs="David"/>
          <w:sz w:val="24"/>
          <w:szCs w:val="24"/>
          <w:rtl/>
        </w:rPr>
        <w:t xml:space="preserve">תפקיד יושב ראש ועדה מחייב התנהלות אחראית וממלכתית, באחידות ובשוויוניות כלפי חברי הכנסת. בדומה על יושב ראש הוועדה להימנע מניצול  מעמדו וכוחו העודף שלא לצורך, ולשמור גם על זכויותיהם של חברי הכנסת מהאופוזיציה או אלה שעמדתם שונה משלו. הדברים צריכים לבוא לידי ביטוי בסדרי הדיון, זמן הדיבור הניתן לכל דובר, קביעת לוחות הזמנים ובהיבטים נוספים. </w:t>
      </w:r>
    </w:p>
    <w:p w:rsidR="00F5112E" w:rsidRDefault="00F5112E" w:rsidP="00F5112E">
      <w:pPr>
        <w:pStyle w:val="a3"/>
        <w:numPr>
          <w:ilvl w:val="0"/>
          <w:numId w:val="1"/>
        </w:numPr>
        <w:tabs>
          <w:tab w:val="left" w:pos="340"/>
        </w:tabs>
        <w:spacing w:after="120" w:line="360" w:lineRule="auto"/>
        <w:ind w:left="357" w:hanging="357"/>
        <w:contextualSpacing w:val="0"/>
        <w:jc w:val="both"/>
        <w:rPr>
          <w:rFonts w:cs="David"/>
          <w:sz w:val="24"/>
          <w:szCs w:val="24"/>
        </w:rPr>
      </w:pPr>
      <w:r>
        <w:rPr>
          <w:rFonts w:cs="David"/>
          <w:sz w:val="24"/>
          <w:szCs w:val="24"/>
          <w:rtl/>
        </w:rPr>
        <w:t xml:space="preserve">הגם שהוועדה מצאה טעם לפגם בהתנהלות בחלק מהמקרים, היא לא מצאה לנכון לקבוע שחבר הכנסת רוטמן ביצע הפרה אתית. זאת בהתחשב במורכבות הדיונים, המחלוקת הציבורית הרחבה שהתבטאה גם בישיבות עצמן וההתנהלות של חלק מחברי הועדה. </w:t>
      </w:r>
      <w:r>
        <w:rPr>
          <w:rFonts w:cs="David"/>
          <w:b/>
          <w:bCs/>
          <w:sz w:val="24"/>
          <w:szCs w:val="24"/>
          <w:rtl/>
        </w:rPr>
        <w:t xml:space="preserve">יחד עם זאת מבקשת הוועדה מחבר הכנסת רוטמן לקחת לתשומת ליבו את הטענות שהושמעו כלפיו ומודיעה כי באם יוגשו קובלנות נוספות </w:t>
      </w:r>
      <w:proofErr w:type="spellStart"/>
      <w:r>
        <w:rPr>
          <w:rFonts w:cs="David"/>
          <w:b/>
          <w:bCs/>
          <w:sz w:val="24"/>
          <w:szCs w:val="24"/>
          <w:rtl/>
        </w:rPr>
        <w:t>בענין</w:t>
      </w:r>
      <w:proofErr w:type="spellEnd"/>
      <w:r>
        <w:rPr>
          <w:rFonts w:cs="David"/>
          <w:b/>
          <w:bCs/>
          <w:sz w:val="24"/>
          <w:szCs w:val="24"/>
          <w:rtl/>
        </w:rPr>
        <w:t xml:space="preserve"> זה שיתבררו כנכונות, הוועדה תידרש לנושא בשנית ותתייחס לכך בכובד ראש.</w:t>
      </w:r>
    </w:p>
    <w:p w:rsidR="00F5112E" w:rsidRDefault="00F5112E" w:rsidP="00F5112E">
      <w:pPr>
        <w:tabs>
          <w:tab w:val="left" w:pos="340"/>
        </w:tabs>
        <w:spacing w:after="120" w:line="360" w:lineRule="auto"/>
        <w:jc w:val="both"/>
        <w:rPr>
          <w:rFonts w:cs="David"/>
          <w:sz w:val="24"/>
          <w:szCs w:val="24"/>
          <w:rtl/>
        </w:rPr>
      </w:pPr>
    </w:p>
    <w:p w:rsidR="00F5112E" w:rsidRDefault="00F5112E" w:rsidP="00F5112E">
      <w:pPr>
        <w:tabs>
          <w:tab w:val="left" w:pos="340"/>
        </w:tabs>
        <w:spacing w:after="120" w:line="360" w:lineRule="auto"/>
        <w:jc w:val="both"/>
        <w:rPr>
          <w:rFonts w:cs="David"/>
          <w:sz w:val="24"/>
          <w:szCs w:val="24"/>
          <w:rtl/>
        </w:rPr>
      </w:pPr>
      <w:r>
        <w:rPr>
          <w:rFonts w:cs="David"/>
          <w:sz w:val="24"/>
          <w:szCs w:val="24"/>
          <w:rtl/>
        </w:rPr>
        <w:t>ההחלטה תונח על שולחן הכנסת.</w:t>
      </w:r>
    </w:p>
    <w:p w:rsidR="00FA5DC3" w:rsidRDefault="00FA5DC3" w:rsidP="00F5112E">
      <w:pPr>
        <w:tabs>
          <w:tab w:val="left" w:pos="340"/>
        </w:tabs>
        <w:spacing w:after="120" w:line="360" w:lineRule="auto"/>
        <w:jc w:val="both"/>
        <w:rPr>
          <w:rFonts w:cs="David"/>
          <w:sz w:val="24"/>
          <w:szCs w:val="24"/>
          <w:rtl/>
        </w:rPr>
      </w:pPr>
    </w:p>
    <w:p w:rsidR="00FA5DC3" w:rsidRDefault="00FA5DC3" w:rsidP="00F5112E">
      <w:pPr>
        <w:tabs>
          <w:tab w:val="left" w:pos="340"/>
        </w:tabs>
        <w:spacing w:after="120" w:line="360" w:lineRule="auto"/>
        <w:jc w:val="both"/>
        <w:rPr>
          <w:rFonts w:cs="David"/>
          <w:sz w:val="24"/>
          <w:szCs w:val="24"/>
          <w:rtl/>
        </w:rPr>
      </w:pPr>
    </w:p>
    <w:p w:rsidR="00FA5DC3" w:rsidRDefault="00FA5DC3" w:rsidP="00F5112E">
      <w:pPr>
        <w:tabs>
          <w:tab w:val="left" w:pos="340"/>
        </w:tabs>
        <w:spacing w:after="120" w:line="360" w:lineRule="auto"/>
        <w:jc w:val="both"/>
        <w:rPr>
          <w:rFonts w:cs="David"/>
          <w:sz w:val="24"/>
          <w:szCs w:val="24"/>
          <w:rtl/>
        </w:rPr>
      </w:pPr>
    </w:p>
    <w:p w:rsidR="00F5112E" w:rsidRDefault="00F5112E" w:rsidP="00F5112E">
      <w:pPr>
        <w:tabs>
          <w:tab w:val="left" w:pos="340"/>
        </w:tabs>
        <w:spacing w:after="120" w:line="360" w:lineRule="auto"/>
        <w:jc w:val="both"/>
        <w:rPr>
          <w:rFonts w:cs="David"/>
          <w:sz w:val="24"/>
          <w:szCs w:val="24"/>
          <w:rtl/>
        </w:rPr>
      </w:pPr>
    </w:p>
    <w:p w:rsidR="00F5112E" w:rsidRDefault="00F5112E" w:rsidP="00F5112E">
      <w:pPr>
        <w:tabs>
          <w:tab w:val="left" w:pos="340"/>
        </w:tabs>
        <w:spacing w:after="120" w:line="360" w:lineRule="auto"/>
        <w:jc w:val="both"/>
        <w:rPr>
          <w:rFonts w:cs="David"/>
          <w:sz w:val="24"/>
          <w:szCs w:val="24"/>
          <w:rtl/>
        </w:rPr>
      </w:pPr>
    </w:p>
    <w:p w:rsidR="00F5112E" w:rsidRDefault="00F5112E" w:rsidP="00F5112E">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w:t>
      </w:r>
    </w:p>
    <w:p w:rsidR="00F5112E" w:rsidRDefault="00F5112E" w:rsidP="00F5112E">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חבר הכנסת ינון אזולאי</w:t>
      </w:r>
    </w:p>
    <w:p w:rsidR="00F5112E" w:rsidRDefault="00F5112E" w:rsidP="00F5112E">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 האתיקה</w:t>
      </w:r>
    </w:p>
    <w:p w:rsidR="009C78C3" w:rsidRPr="008D4B00" w:rsidRDefault="009C78C3" w:rsidP="008D4B00">
      <w:pPr>
        <w:spacing w:after="120" w:line="360" w:lineRule="auto"/>
        <w:jc w:val="both"/>
        <w:rPr>
          <w:rFonts w:ascii="David" w:hAnsi="David" w:cs="David"/>
          <w:sz w:val="24"/>
          <w:szCs w:val="24"/>
        </w:rPr>
      </w:pPr>
    </w:p>
    <w:sectPr w:rsidR="009C78C3" w:rsidRPr="008D4B00" w:rsidSect="002715F3">
      <w:pgSz w:w="12240" w:h="15840"/>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970BA"/>
    <w:multiLevelType w:val="hybridMultilevel"/>
    <w:tmpl w:val="0CDCD662"/>
    <w:lvl w:ilvl="0" w:tplc="43A468CE">
      <w:start w:val="1"/>
      <w:numFmt w:val="decimal"/>
      <w:lvlText w:val="%1."/>
      <w:lvlJc w:val="left"/>
      <w:pPr>
        <w:ind w:left="720" w:hanging="360"/>
      </w:pPr>
      <w:rPr>
        <w:b w:val="0"/>
        <w:bCs w:val="0"/>
        <w:lang w:val="en-US"/>
      </w:rPr>
    </w:lvl>
    <w:lvl w:ilvl="1" w:tplc="9E9C65B8">
      <w:start w:val="1"/>
      <w:numFmt w:val="hebrew1"/>
      <w:lvlText w:val="%2."/>
      <w:lvlJc w:val="left"/>
      <w:pPr>
        <w:ind w:left="1440" w:hanging="360"/>
      </w:pPr>
      <w:rPr>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083"/>
    <w:rsid w:val="000013E7"/>
    <w:rsid w:val="002715F3"/>
    <w:rsid w:val="00522BAE"/>
    <w:rsid w:val="00651DCB"/>
    <w:rsid w:val="008D4B00"/>
    <w:rsid w:val="0095182B"/>
    <w:rsid w:val="009C78C3"/>
    <w:rsid w:val="00A34083"/>
    <w:rsid w:val="00B12C08"/>
    <w:rsid w:val="00B939FD"/>
    <w:rsid w:val="00DF1C5D"/>
    <w:rsid w:val="00EE1981"/>
    <w:rsid w:val="00F5112E"/>
    <w:rsid w:val="00FA5D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11897-551E-4DA1-85CA-EA810ADB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12E"/>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12E"/>
    <w:pPr>
      <w:ind w:left="720"/>
      <w:contextualSpacing/>
    </w:pPr>
  </w:style>
  <w:style w:type="paragraph" w:styleId="a4">
    <w:name w:val="Balloon Text"/>
    <w:basedOn w:val="a"/>
    <w:link w:val="a5"/>
    <w:uiPriority w:val="99"/>
    <w:semiHidden/>
    <w:unhideWhenUsed/>
    <w:rsid w:val="00FA5DC3"/>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FA5DC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23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622D8-0F34-4E04-8737-3F453D2F4209}"/>
</file>

<file path=customXml/itemProps2.xml><?xml version="1.0" encoding="utf-8"?>
<ds:datastoreItem xmlns:ds="http://schemas.openxmlformats.org/officeDocument/2006/customXml" ds:itemID="{7457890E-5166-4B39-B1CA-46CB0F9BC051}"/>
</file>

<file path=customXml/itemProps3.xml><?xml version="1.0" encoding="utf-8"?>
<ds:datastoreItem xmlns:ds="http://schemas.openxmlformats.org/officeDocument/2006/customXml" ds:itemID="{2E4FB4CE-D29D-45BE-95E5-BD7641F26C84}"/>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2494</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2023-06-28T10:41:00Z</cp:lastPrinted>
  <dcterms:created xsi:type="dcterms:W3CDTF">2023-06-28T12:54:00Z</dcterms:created>
  <dcterms:modified xsi:type="dcterms:W3CDTF">2023-06-28T12:54:00Z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2207083</vt:r8>
  </property>
</Properties>
</file>