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709.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  בית"ר ירושלים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אופיר כץ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התרבות והספורט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כ' בסיוון התשפ"ב (19 ביוני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בית"ר ירושלים נקלעה למצב כלכלי מורכב שמסכן את עתיד המועדון, המחלקות והמשכורות לעובדים והשחקנים.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1.</w:t>
      </w:r>
      <w:r xmlns:w="http://schemas.openxmlformats.org/wordprocessingml/2006/main">
        <w:tab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איך יכול להיות שלמרות הפיקוח ומנגנוני הבקרה התקציבית קבוצה כזו לא יכולה לשלם משכורות תוך חודש?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2.</w:t>
      </w:r>
      <w:r>
        <w:tab/>
      </w:r>
      <w:r>
        <w:rPr xmlns:w="http://schemas.openxmlformats.org/wordprocessingml/2006/main">
          <w:rFonts w:hint="cs" w:ascii="Tahoma" w:hAnsi="Tahoma" w:cs="David"/>
          <w:rtl/>
        </w:rPr>
        <w:t xml:space="preserve">מה בכוונתכם לעשות בכדי למנוע מקרים כאלו בעתיד?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10/07/2022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CC0AC053-3810-4833-BA9C-A5CA883CC62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2194132</vt:r8>
  </property>
</Properties>
</file>