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527.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תשלומי אגרות משרד התחבורה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באדר א' התשפ"ב (3 בפברואר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עסקים וכן אנשים פרטיים שאינם משלמים תשלום אגרה בזמן, מסיבה כזאת או אחרת, מבוצע להם עיקול בחשבון ללא כל התראה מוקדמת. כתוצאה מכך מופלה לרעה דירוג האשראי שלהם.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אבקש לבחון אפשרות כי תינתן התראה לפני נקיטת הליכים.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F652CA3-73E0-447A-9D02-2373BC220D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2169504</vt:r8>
  </property>
</Properties>
</file>