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הפיצוי למוניות השירות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צבי האוזר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התשפ"ב (30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בפברואר 2018, הוסכם על מתווה פיצוי למפעילי מוניות השירות ומפתח המרה. ברצוני לשאול: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האוצר טרם יישם את תיקון 120 לחוק פקודת התעבורה, למימוש הפיצויים, חרף הסכמת משרד המשפטים ומשרד התחבורה?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המחלוקת בין המשרדים המעכבת הבאת התקנות לאישור ועדת הכלכלה "במהירות הראויה", כנדרש בחוק?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6A019E2-3B32-4926-A0AF-318A801A5F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2169306</vt:r8>
  </property>
</Properties>
</file>