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503.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שוויון בחלוקת תקציבי המשרד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סמי אבו שחאדה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לירושלים ומורשת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בשבט התשפ"ב (25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המשרד לירושלים ומורשת מטרתו להגן על כל סוגי המורשת במדינה.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המשרד ביצע סקירה למספר הכולל של אתרי המורשת הערבית? אם כן, כמה?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הקריטריונים של המשרד לחלוקת התקציב לשימור אתרים בישראל?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המשרד קובע קווים מנחים וקריטריונים לאופן חלוקת תקציב המועצה לשימור אתרים?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15/02/2022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F3EFDCD-F6D7-43F0-8C1C-38FC26D428C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2169093</vt:r8>
  </property>
</Properties>
</file>