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422.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תשלומי אגרות משרד התחבורה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אלי כהן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כ"ה בטבת התשפ"ב (29 בדצמבר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עסקים וכן אנשים פרטיים שאינם משלמים תשלום אגרה בזמן, מסיבה כזאת או אחרת, מבוצע להם עיקול בחשבון ללא כל התראה מוקדמת. כתוצאה מכך מופע לרעה דירוג האשראי שלהם. 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אבקש לבחון אפשרות כי תינתן התראה לפני נקיטת הליכים</w:t>
      </w:r>
      <w:bookmarkEnd w:id="15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19/01/2022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AD9DDFB-873A-4A7A-B540-E1FFEF88FC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2167401</vt:r8>
  </property>
</Properties>
</file>