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הקשר שבין שיעור התעסוקה לרמות הפשיעה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רות וסרמן לנדה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בחשוון התשפ"ב (11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דוח הלמ"ס, חלה ירידה משמעותית (8%) בשיעור התעסוקה בקרב גברים צעירים ערבים בין הגילים 20-24. כ-30% מהם אינם נרשמים ללימודים או מועסקים החל מגיל 18.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הוכח, כי הנושא משפיע באופן ניכר על רמות הפשיעה בקרבם, חרף מתן התייחסות לנושא במשרד לשוויון חברתי.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 משרדך לסייע בצמצום םעירם חברתיים ולהעלות את שיעור התעסוקה בקרב גברים צעירים בגילים אלה?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מדוע, אם כן, לא הוגדרה אוכלוסייה זו ביעדי התעסוקה של שנת 2030 בחוק ההסדרים?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60DCA72-A81F-4406-9590-77B320A870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2162762</vt:r8>
  </property>
</Properties>
</file>